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149B" w14:textId="2A62EC0A" w:rsidR="00FB1207" w:rsidRPr="00FB1207" w:rsidRDefault="00C75CA8" w:rsidP="00FB1207">
      <w:pPr>
        <w:jc w:val="center"/>
        <w:rPr>
          <w:rFonts w:ascii="Times New Roman" w:hAnsi="Times New Roman"/>
          <w:b/>
        </w:rPr>
      </w:pPr>
      <w:bookmarkStart w:id="0" w:name="_GoBack"/>
      <w:bookmarkEnd w:id="0"/>
      <w:r>
        <w:rPr>
          <w:rFonts w:ascii="Times New Roman" w:hAnsi="Times New Roman"/>
          <w:b/>
        </w:rPr>
        <w:t xml:space="preserve">Former EPI Students’ Academic Achievement at USC and ESL Skills </w:t>
      </w:r>
      <w:r w:rsidR="00FB1207" w:rsidRPr="00FB1207">
        <w:rPr>
          <w:rFonts w:ascii="Times New Roman" w:hAnsi="Times New Roman"/>
          <w:b/>
        </w:rPr>
        <w:t>at EPI</w:t>
      </w:r>
    </w:p>
    <w:p w14:paraId="126F87AC" w14:textId="005AD1FA" w:rsidR="00BE154C" w:rsidRDefault="00E6370B" w:rsidP="002B0710">
      <w:pPr>
        <w:rPr>
          <w:rFonts w:ascii="Times New Roman" w:hAnsi="Times New Roman"/>
        </w:rPr>
      </w:pPr>
      <w:r>
        <w:rPr>
          <w:rFonts w:ascii="Times New Roman" w:hAnsi="Times New Roman"/>
        </w:rPr>
        <w:t>Th</w:t>
      </w:r>
      <w:r w:rsidR="00BE154C">
        <w:rPr>
          <w:rFonts w:ascii="Times New Roman" w:hAnsi="Times New Roman"/>
        </w:rPr>
        <w:t>e purpose of th</w:t>
      </w:r>
      <w:r>
        <w:rPr>
          <w:rFonts w:ascii="Times New Roman" w:hAnsi="Times New Roman"/>
        </w:rPr>
        <w:t>is report is to show</w:t>
      </w:r>
      <w:r w:rsidR="00C1114A">
        <w:rPr>
          <w:rFonts w:ascii="Times New Roman" w:hAnsi="Times New Roman"/>
        </w:rPr>
        <w:t xml:space="preserve"> </w:t>
      </w:r>
      <w:r>
        <w:rPr>
          <w:rFonts w:ascii="Times New Roman" w:hAnsi="Times New Roman"/>
        </w:rPr>
        <w:t xml:space="preserve">statistics about the proportion of </w:t>
      </w:r>
      <w:r w:rsidR="00BE154C">
        <w:rPr>
          <w:rFonts w:ascii="Times New Roman" w:hAnsi="Times New Roman"/>
        </w:rPr>
        <w:t xml:space="preserve">former EPI students out of the group of foreign </w:t>
      </w:r>
      <w:r>
        <w:rPr>
          <w:rFonts w:ascii="Times New Roman" w:hAnsi="Times New Roman"/>
        </w:rPr>
        <w:t xml:space="preserve">students </w:t>
      </w:r>
      <w:r w:rsidR="00BE154C">
        <w:rPr>
          <w:rFonts w:ascii="Times New Roman" w:hAnsi="Times New Roman"/>
        </w:rPr>
        <w:t xml:space="preserve">studying at USC, their academic achievement in terms of GPA and grades from </w:t>
      </w:r>
      <w:r w:rsidR="00A343C7">
        <w:rPr>
          <w:rFonts w:ascii="Times New Roman" w:hAnsi="Times New Roman"/>
        </w:rPr>
        <w:t xml:space="preserve">both the </w:t>
      </w:r>
      <w:r w:rsidR="00BE154C">
        <w:rPr>
          <w:rFonts w:ascii="Times New Roman" w:hAnsi="Times New Roman"/>
        </w:rPr>
        <w:t>English 101 and 102 courses, and the relationships between their academic achievement and their performance levels at their last classes in EPI</w:t>
      </w:r>
      <w:r w:rsidR="00A343C7">
        <w:rPr>
          <w:rFonts w:ascii="Times New Roman" w:hAnsi="Times New Roman"/>
        </w:rPr>
        <w:t xml:space="preserve"> as well as the class level that they reached finally at EPI</w:t>
      </w:r>
      <w:r w:rsidR="00BE154C">
        <w:rPr>
          <w:rFonts w:ascii="Times New Roman" w:hAnsi="Times New Roman"/>
        </w:rPr>
        <w:t>.</w:t>
      </w:r>
    </w:p>
    <w:p w14:paraId="5A2D3CD4" w14:textId="77777777" w:rsidR="00BE154C" w:rsidRDefault="00BE154C" w:rsidP="002B0710">
      <w:pPr>
        <w:rPr>
          <w:rFonts w:ascii="Times New Roman" w:hAnsi="Times New Roman"/>
        </w:rPr>
      </w:pPr>
    </w:p>
    <w:p w14:paraId="21EAD602" w14:textId="2290BA91" w:rsidR="00E6370B" w:rsidRDefault="00E6370B" w:rsidP="002B0710">
      <w:pPr>
        <w:rPr>
          <w:rFonts w:ascii="Times New Roman" w:hAnsi="Times New Roman"/>
        </w:rPr>
      </w:pPr>
      <w:r>
        <w:rPr>
          <w:rFonts w:ascii="Times New Roman" w:hAnsi="Times New Roman"/>
        </w:rPr>
        <w:t xml:space="preserve">1. </w:t>
      </w:r>
      <w:r w:rsidR="00A343C7">
        <w:rPr>
          <w:rFonts w:ascii="Times New Roman" w:hAnsi="Times New Roman"/>
        </w:rPr>
        <w:t xml:space="preserve">General Statistics about </w:t>
      </w:r>
      <w:r w:rsidR="00DB4EF4">
        <w:rPr>
          <w:rFonts w:ascii="Times New Roman" w:hAnsi="Times New Roman"/>
        </w:rPr>
        <w:t xml:space="preserve">USC students from </w:t>
      </w:r>
      <w:r>
        <w:rPr>
          <w:rFonts w:ascii="Times New Roman" w:hAnsi="Times New Roman"/>
        </w:rPr>
        <w:t>E</w:t>
      </w:r>
      <w:r w:rsidR="003B3B38">
        <w:rPr>
          <w:rFonts w:ascii="Times New Roman" w:hAnsi="Times New Roman"/>
        </w:rPr>
        <w:t xml:space="preserve">PI and their </w:t>
      </w:r>
      <w:r w:rsidR="00A343C7">
        <w:rPr>
          <w:rFonts w:ascii="Times New Roman" w:hAnsi="Times New Roman"/>
        </w:rPr>
        <w:t>Academic Achievement</w:t>
      </w:r>
    </w:p>
    <w:p w14:paraId="3F9CDDF6" w14:textId="009E0E92" w:rsidR="00D11866" w:rsidRDefault="00D11866" w:rsidP="002B0710">
      <w:pPr>
        <w:rPr>
          <w:rFonts w:ascii="Times New Roman" w:hAnsi="Times New Roman"/>
        </w:rPr>
      </w:pPr>
      <w:r>
        <w:rPr>
          <w:rFonts w:ascii="Times New Roman" w:hAnsi="Times New Roman"/>
        </w:rPr>
        <w:t>1.1 The numbers of foreign undergrad and grad students from EPI</w:t>
      </w:r>
    </w:p>
    <w:p w14:paraId="6F4D46DB" w14:textId="4FFE6253" w:rsidR="00E6370B" w:rsidRDefault="003B3B38" w:rsidP="002B0710">
      <w:pPr>
        <w:rPr>
          <w:rFonts w:ascii="Times New Roman" w:hAnsi="Times New Roman"/>
        </w:rPr>
      </w:pPr>
      <w:r>
        <w:rPr>
          <w:rFonts w:ascii="Times New Roman" w:hAnsi="Times New Roman"/>
        </w:rPr>
        <w:t>The number of international undergrad</w:t>
      </w:r>
      <w:r w:rsidR="009E736C">
        <w:rPr>
          <w:rFonts w:ascii="Times New Roman" w:hAnsi="Times New Roman"/>
        </w:rPr>
        <w:t>uate</w:t>
      </w:r>
      <w:r>
        <w:rPr>
          <w:rFonts w:ascii="Times New Roman" w:hAnsi="Times New Roman"/>
        </w:rPr>
        <w:t xml:space="preserve"> students attending USC </w:t>
      </w:r>
      <w:r w:rsidR="00997165">
        <w:rPr>
          <w:rFonts w:ascii="Times New Roman" w:hAnsi="Times New Roman"/>
        </w:rPr>
        <w:t>this spring (</w:t>
      </w:r>
      <w:r>
        <w:rPr>
          <w:rFonts w:ascii="Times New Roman" w:hAnsi="Times New Roman"/>
        </w:rPr>
        <w:t>spring 2012</w:t>
      </w:r>
      <w:r w:rsidR="00997165">
        <w:rPr>
          <w:rFonts w:ascii="Times New Roman" w:hAnsi="Times New Roman"/>
        </w:rPr>
        <w:t xml:space="preserve">) was 346, of which 136 students (39%) used to study at EPI. </w:t>
      </w:r>
      <w:r w:rsidR="00D11866">
        <w:rPr>
          <w:rFonts w:ascii="Times New Roman" w:hAnsi="Times New Roman"/>
        </w:rPr>
        <w:t xml:space="preserve">These data are summarized in Table 1 and Figure 1. </w:t>
      </w:r>
      <w:r w:rsidR="00E01FDC">
        <w:rPr>
          <w:rFonts w:ascii="Times New Roman" w:hAnsi="Times New Roman"/>
        </w:rPr>
        <w:t xml:space="preserve">Compared to the data obtained in fall 2010, the percentage of former EPI students increased by about 6 percent (33.4 </w:t>
      </w:r>
      <w:r w:rsidR="00E01FDC" w:rsidRPr="00E01FDC">
        <w:rPr>
          <w:rFonts w:ascii="Times New Roman" w:hAnsi="Times New Roman"/>
        </w:rPr>
        <w:sym w:font="Wingdings" w:char="F0E0"/>
      </w:r>
      <w:r w:rsidR="00E01FDC">
        <w:rPr>
          <w:rFonts w:ascii="Times New Roman" w:hAnsi="Times New Roman"/>
        </w:rPr>
        <w:t xml:space="preserve"> 39.3) due to the decrease in number of the whole international</w:t>
      </w:r>
      <w:r w:rsidR="003829C3">
        <w:rPr>
          <w:rFonts w:ascii="Times New Roman" w:hAnsi="Times New Roman"/>
        </w:rPr>
        <w:t xml:space="preserve"> undergraduate</w:t>
      </w:r>
      <w:r w:rsidR="00E01FDC">
        <w:rPr>
          <w:rFonts w:ascii="Times New Roman" w:hAnsi="Times New Roman"/>
        </w:rPr>
        <w:t xml:space="preserve"> students (388 to 346), even though the number of former EPI students d</w:t>
      </w:r>
      <w:r w:rsidR="00656495">
        <w:rPr>
          <w:rFonts w:ascii="Times New Roman" w:hAnsi="Times New Roman"/>
        </w:rPr>
        <w:t xml:space="preserve">id not differ much from </w:t>
      </w:r>
      <w:r w:rsidR="00E01FDC">
        <w:rPr>
          <w:rFonts w:ascii="Times New Roman" w:hAnsi="Times New Roman"/>
        </w:rPr>
        <w:t xml:space="preserve">fall 2010 (e.g., 136 vs. 133). </w:t>
      </w:r>
    </w:p>
    <w:p w14:paraId="3255FB48" w14:textId="4BD01FE6" w:rsidR="00E6370B" w:rsidRDefault="00E6370B" w:rsidP="002B0710">
      <w:pPr>
        <w:rPr>
          <w:rFonts w:ascii="Times New Roman" w:hAnsi="Times New Roman"/>
        </w:rPr>
      </w:pPr>
      <w:r>
        <w:rPr>
          <w:rFonts w:ascii="Times New Roman" w:hAnsi="Times New Roman"/>
        </w:rPr>
        <w:t xml:space="preserve">Table 1. </w:t>
      </w:r>
      <w:r w:rsidR="003B3B38">
        <w:rPr>
          <w:rFonts w:ascii="Times New Roman" w:hAnsi="Times New Roman"/>
        </w:rPr>
        <w:t>The number of USC undergrad</w:t>
      </w:r>
      <w:r w:rsidR="0014707E">
        <w:rPr>
          <w:rFonts w:ascii="Times New Roman" w:hAnsi="Times New Roman"/>
        </w:rPr>
        <w:t>uate</w:t>
      </w:r>
      <w:r w:rsidR="003B3B38">
        <w:rPr>
          <w:rFonts w:ascii="Times New Roman" w:hAnsi="Times New Roman"/>
        </w:rPr>
        <w:t xml:space="preserve"> students from EPI</w:t>
      </w:r>
      <w:r w:rsidR="00997165">
        <w:rPr>
          <w:rFonts w:ascii="Times New Roman" w:hAnsi="Times New Roman"/>
        </w:rPr>
        <w:t xml:space="preserve"> in spring 2012</w:t>
      </w:r>
      <w:r w:rsidR="00976D28">
        <w:rPr>
          <w:rFonts w:ascii="Times New Roman" w:hAnsi="Times New Roman"/>
        </w:rPr>
        <w:t xml:space="preserve"> and </w:t>
      </w:r>
      <w:r w:rsidR="0014707E">
        <w:rPr>
          <w:rFonts w:ascii="Times New Roman" w:hAnsi="Times New Roman"/>
        </w:rPr>
        <w:t>f</w:t>
      </w:r>
      <w:r w:rsidR="00976D28">
        <w:rPr>
          <w:rFonts w:ascii="Times New Roman" w:hAnsi="Times New Roman"/>
        </w:rPr>
        <w:t>all 2010</w:t>
      </w:r>
    </w:p>
    <w:tbl>
      <w:tblPr>
        <w:tblStyle w:val="TableGrid"/>
        <w:tblW w:w="0" w:type="auto"/>
        <w:tblInd w:w="108" w:type="dxa"/>
        <w:tblLayout w:type="fixed"/>
        <w:tblLook w:val="04A0" w:firstRow="1" w:lastRow="0" w:firstColumn="1" w:lastColumn="0" w:noHBand="0" w:noVBand="1"/>
      </w:tblPr>
      <w:tblGrid>
        <w:gridCol w:w="1530"/>
        <w:gridCol w:w="1080"/>
        <w:gridCol w:w="1350"/>
        <w:gridCol w:w="6"/>
        <w:gridCol w:w="1164"/>
        <w:gridCol w:w="1440"/>
      </w:tblGrid>
      <w:tr w:rsidR="00976D28" w:rsidRPr="00E6370B" w14:paraId="4521ADE6" w14:textId="5C842363" w:rsidTr="00417593">
        <w:trPr>
          <w:trHeight w:val="280"/>
        </w:trPr>
        <w:tc>
          <w:tcPr>
            <w:tcW w:w="1530" w:type="dxa"/>
            <w:vMerge w:val="restart"/>
            <w:noWrap/>
            <w:vAlign w:val="center"/>
          </w:tcPr>
          <w:p w14:paraId="341EB1BF" w14:textId="22DE008D" w:rsidR="00976D28" w:rsidRPr="00E6370B" w:rsidRDefault="00976D28" w:rsidP="00976D28">
            <w:pPr>
              <w:jc w:val="center"/>
              <w:rPr>
                <w:rFonts w:ascii="Times New Roman" w:hAnsi="Times New Roman"/>
              </w:rPr>
            </w:pPr>
            <w:r w:rsidRPr="00E6370B">
              <w:rPr>
                <w:rFonts w:ascii="Times New Roman" w:hAnsi="Times New Roman"/>
              </w:rPr>
              <w:t>Sources</w:t>
            </w:r>
          </w:p>
        </w:tc>
        <w:tc>
          <w:tcPr>
            <w:tcW w:w="2436" w:type="dxa"/>
            <w:gridSpan w:val="3"/>
          </w:tcPr>
          <w:p w14:paraId="783778BB" w14:textId="42152A40" w:rsidR="00976D28" w:rsidRPr="00E6370B" w:rsidRDefault="00976D28" w:rsidP="003B3B38">
            <w:pPr>
              <w:jc w:val="center"/>
              <w:rPr>
                <w:rFonts w:ascii="Times New Roman" w:hAnsi="Times New Roman"/>
              </w:rPr>
            </w:pPr>
            <w:r>
              <w:rPr>
                <w:rFonts w:ascii="Times New Roman" w:hAnsi="Times New Roman"/>
              </w:rPr>
              <w:t>Spring 2012</w:t>
            </w:r>
          </w:p>
        </w:tc>
        <w:tc>
          <w:tcPr>
            <w:tcW w:w="2604" w:type="dxa"/>
            <w:gridSpan w:val="2"/>
            <w:noWrap/>
          </w:tcPr>
          <w:p w14:paraId="544E7929" w14:textId="0D2E3BE0" w:rsidR="00976D28" w:rsidRPr="00E6370B" w:rsidRDefault="00976D28" w:rsidP="003B3B38">
            <w:pPr>
              <w:jc w:val="center"/>
              <w:rPr>
                <w:rFonts w:ascii="Times New Roman" w:hAnsi="Times New Roman"/>
              </w:rPr>
            </w:pPr>
            <w:r>
              <w:rPr>
                <w:rFonts w:ascii="Times New Roman" w:hAnsi="Times New Roman"/>
              </w:rPr>
              <w:t>Fall 2010</w:t>
            </w:r>
          </w:p>
        </w:tc>
      </w:tr>
      <w:tr w:rsidR="00976D28" w:rsidRPr="00E6370B" w14:paraId="24172CA2" w14:textId="755271CA" w:rsidTr="00417593">
        <w:trPr>
          <w:trHeight w:val="280"/>
        </w:trPr>
        <w:tc>
          <w:tcPr>
            <w:tcW w:w="1530" w:type="dxa"/>
            <w:vMerge/>
            <w:noWrap/>
          </w:tcPr>
          <w:p w14:paraId="0B6D0750" w14:textId="6D63A5D6" w:rsidR="00976D28" w:rsidRDefault="00976D28">
            <w:pPr>
              <w:rPr>
                <w:rFonts w:ascii="Times New Roman" w:hAnsi="Times New Roman"/>
              </w:rPr>
            </w:pPr>
          </w:p>
        </w:tc>
        <w:tc>
          <w:tcPr>
            <w:tcW w:w="1080" w:type="dxa"/>
            <w:noWrap/>
          </w:tcPr>
          <w:p w14:paraId="70BE3278" w14:textId="4A0BF0E0" w:rsidR="00976D28" w:rsidRPr="00E6370B" w:rsidRDefault="00976D28" w:rsidP="00E6370B">
            <w:pPr>
              <w:rPr>
                <w:rFonts w:ascii="Times New Roman" w:hAnsi="Times New Roman"/>
              </w:rPr>
            </w:pPr>
            <w:r>
              <w:rPr>
                <w:rFonts w:ascii="Times New Roman" w:hAnsi="Times New Roman"/>
              </w:rPr>
              <w:t>Number</w:t>
            </w:r>
          </w:p>
        </w:tc>
        <w:tc>
          <w:tcPr>
            <w:tcW w:w="1350" w:type="dxa"/>
            <w:noWrap/>
          </w:tcPr>
          <w:p w14:paraId="4BA31E74" w14:textId="47249897" w:rsidR="00976D28" w:rsidRPr="00E6370B" w:rsidRDefault="00976D28" w:rsidP="00E6370B">
            <w:pPr>
              <w:rPr>
                <w:rFonts w:ascii="Times New Roman" w:hAnsi="Times New Roman"/>
              </w:rPr>
            </w:pPr>
            <w:r>
              <w:rPr>
                <w:rFonts w:ascii="Times New Roman" w:hAnsi="Times New Roman"/>
              </w:rPr>
              <w:t>Percentage</w:t>
            </w:r>
          </w:p>
        </w:tc>
        <w:tc>
          <w:tcPr>
            <w:tcW w:w="1170" w:type="dxa"/>
            <w:gridSpan w:val="2"/>
            <w:noWrap/>
          </w:tcPr>
          <w:p w14:paraId="4BD42188" w14:textId="404598F8" w:rsidR="00976D28" w:rsidRPr="00E6370B" w:rsidRDefault="00976D28" w:rsidP="00E6370B">
            <w:pPr>
              <w:rPr>
                <w:rFonts w:ascii="Times New Roman" w:hAnsi="Times New Roman"/>
              </w:rPr>
            </w:pPr>
            <w:r>
              <w:rPr>
                <w:rFonts w:ascii="Times New Roman" w:hAnsi="Times New Roman"/>
              </w:rPr>
              <w:t>Number</w:t>
            </w:r>
          </w:p>
        </w:tc>
        <w:tc>
          <w:tcPr>
            <w:tcW w:w="1440" w:type="dxa"/>
          </w:tcPr>
          <w:p w14:paraId="76E45834" w14:textId="490A3E41" w:rsidR="00976D28" w:rsidRPr="00E6370B" w:rsidRDefault="00976D28" w:rsidP="00E6370B">
            <w:pPr>
              <w:rPr>
                <w:rFonts w:ascii="Times New Roman" w:hAnsi="Times New Roman"/>
              </w:rPr>
            </w:pPr>
            <w:r>
              <w:rPr>
                <w:rFonts w:ascii="Times New Roman" w:hAnsi="Times New Roman"/>
              </w:rPr>
              <w:t>Percentage</w:t>
            </w:r>
          </w:p>
        </w:tc>
      </w:tr>
      <w:tr w:rsidR="00976D28" w:rsidRPr="00E6370B" w14:paraId="34EEB2B2" w14:textId="3118AC9E" w:rsidTr="00417593">
        <w:trPr>
          <w:trHeight w:val="280"/>
        </w:trPr>
        <w:tc>
          <w:tcPr>
            <w:tcW w:w="1530" w:type="dxa"/>
            <w:noWrap/>
            <w:vAlign w:val="center"/>
            <w:hideMark/>
          </w:tcPr>
          <w:p w14:paraId="36230CAA" w14:textId="0FC8FC75" w:rsidR="00976D28" w:rsidRPr="00E6370B" w:rsidRDefault="00976D28" w:rsidP="00976D28">
            <w:pPr>
              <w:jc w:val="center"/>
              <w:rPr>
                <w:rFonts w:ascii="Times New Roman" w:hAnsi="Times New Roman"/>
              </w:rPr>
            </w:pPr>
            <w:r>
              <w:rPr>
                <w:rFonts w:ascii="Times New Roman" w:hAnsi="Times New Roman"/>
              </w:rPr>
              <w:t>EPI</w:t>
            </w:r>
          </w:p>
        </w:tc>
        <w:tc>
          <w:tcPr>
            <w:tcW w:w="1080" w:type="dxa"/>
            <w:noWrap/>
            <w:hideMark/>
          </w:tcPr>
          <w:p w14:paraId="79A99E49" w14:textId="77777777" w:rsidR="00976D28" w:rsidRPr="00E6370B" w:rsidRDefault="00976D28" w:rsidP="00E6370B">
            <w:pPr>
              <w:rPr>
                <w:rFonts w:ascii="Times New Roman" w:hAnsi="Times New Roman"/>
              </w:rPr>
            </w:pPr>
            <w:r w:rsidRPr="00E6370B">
              <w:rPr>
                <w:rFonts w:ascii="Times New Roman" w:hAnsi="Times New Roman"/>
              </w:rPr>
              <w:t>136</w:t>
            </w:r>
          </w:p>
        </w:tc>
        <w:tc>
          <w:tcPr>
            <w:tcW w:w="1350" w:type="dxa"/>
            <w:noWrap/>
            <w:hideMark/>
          </w:tcPr>
          <w:p w14:paraId="7B2A5020" w14:textId="6596BABC" w:rsidR="00976D28" w:rsidRPr="00E6370B" w:rsidRDefault="00976D28" w:rsidP="00E6370B">
            <w:pPr>
              <w:rPr>
                <w:rFonts w:ascii="Times New Roman" w:hAnsi="Times New Roman"/>
              </w:rPr>
            </w:pPr>
            <w:r w:rsidRPr="00E6370B">
              <w:rPr>
                <w:rFonts w:ascii="Times New Roman" w:hAnsi="Times New Roman"/>
              </w:rPr>
              <w:t>39.3</w:t>
            </w:r>
          </w:p>
        </w:tc>
        <w:tc>
          <w:tcPr>
            <w:tcW w:w="1170" w:type="dxa"/>
            <w:gridSpan w:val="2"/>
            <w:noWrap/>
            <w:hideMark/>
          </w:tcPr>
          <w:p w14:paraId="2150D456" w14:textId="41BBC203" w:rsidR="00976D28" w:rsidRPr="00E6370B" w:rsidRDefault="00976D28" w:rsidP="00E6370B">
            <w:pPr>
              <w:rPr>
                <w:rFonts w:ascii="Times New Roman" w:hAnsi="Times New Roman"/>
              </w:rPr>
            </w:pPr>
            <w:r>
              <w:rPr>
                <w:rFonts w:ascii="Times New Roman" w:hAnsi="Times New Roman"/>
              </w:rPr>
              <w:t>133</w:t>
            </w:r>
          </w:p>
        </w:tc>
        <w:tc>
          <w:tcPr>
            <w:tcW w:w="1440" w:type="dxa"/>
          </w:tcPr>
          <w:p w14:paraId="1AA2E844" w14:textId="275F452F" w:rsidR="00976D28" w:rsidRPr="00E6370B" w:rsidRDefault="00976D28" w:rsidP="00E6370B">
            <w:pPr>
              <w:rPr>
                <w:rFonts w:ascii="Times New Roman" w:hAnsi="Times New Roman"/>
              </w:rPr>
            </w:pPr>
            <w:r>
              <w:rPr>
                <w:rFonts w:ascii="Times New Roman" w:hAnsi="Times New Roman"/>
              </w:rPr>
              <w:t>33.4</w:t>
            </w:r>
          </w:p>
        </w:tc>
      </w:tr>
      <w:tr w:rsidR="00976D28" w:rsidRPr="00E6370B" w14:paraId="78C3F368" w14:textId="76B53B63" w:rsidTr="00417593">
        <w:trPr>
          <w:trHeight w:val="280"/>
        </w:trPr>
        <w:tc>
          <w:tcPr>
            <w:tcW w:w="1530" w:type="dxa"/>
            <w:noWrap/>
            <w:vAlign w:val="center"/>
            <w:hideMark/>
          </w:tcPr>
          <w:p w14:paraId="444A2D22" w14:textId="3D597364" w:rsidR="00976D28" w:rsidRPr="00E6370B" w:rsidRDefault="00976D28" w:rsidP="00976D28">
            <w:pPr>
              <w:jc w:val="center"/>
              <w:rPr>
                <w:rFonts w:ascii="Times New Roman" w:hAnsi="Times New Roman"/>
              </w:rPr>
            </w:pPr>
            <w:r>
              <w:rPr>
                <w:rFonts w:ascii="Times New Roman" w:hAnsi="Times New Roman"/>
              </w:rPr>
              <w:t>Non-EPI</w:t>
            </w:r>
          </w:p>
        </w:tc>
        <w:tc>
          <w:tcPr>
            <w:tcW w:w="1080" w:type="dxa"/>
            <w:noWrap/>
            <w:hideMark/>
          </w:tcPr>
          <w:p w14:paraId="6CB23C5A" w14:textId="13DD793F" w:rsidR="00976D28" w:rsidRPr="00E6370B" w:rsidRDefault="00976D28" w:rsidP="00E6370B">
            <w:pPr>
              <w:rPr>
                <w:rFonts w:ascii="Times New Roman" w:hAnsi="Times New Roman"/>
              </w:rPr>
            </w:pPr>
            <w:r w:rsidRPr="00E6370B">
              <w:rPr>
                <w:rFonts w:ascii="Times New Roman" w:hAnsi="Times New Roman"/>
              </w:rPr>
              <w:t>210</w:t>
            </w:r>
          </w:p>
        </w:tc>
        <w:tc>
          <w:tcPr>
            <w:tcW w:w="1350" w:type="dxa"/>
            <w:noWrap/>
            <w:hideMark/>
          </w:tcPr>
          <w:p w14:paraId="0CC24215" w14:textId="77777777" w:rsidR="00976D28" w:rsidRPr="00E6370B" w:rsidRDefault="00976D28" w:rsidP="00E6370B">
            <w:pPr>
              <w:rPr>
                <w:rFonts w:ascii="Times New Roman" w:hAnsi="Times New Roman"/>
              </w:rPr>
            </w:pPr>
            <w:r w:rsidRPr="00E6370B">
              <w:rPr>
                <w:rFonts w:ascii="Times New Roman" w:hAnsi="Times New Roman"/>
              </w:rPr>
              <w:t>60.7</w:t>
            </w:r>
          </w:p>
        </w:tc>
        <w:tc>
          <w:tcPr>
            <w:tcW w:w="1170" w:type="dxa"/>
            <w:gridSpan w:val="2"/>
            <w:noWrap/>
            <w:hideMark/>
          </w:tcPr>
          <w:p w14:paraId="136DDD00" w14:textId="5B0ECB6C" w:rsidR="00976D28" w:rsidRPr="00E6370B" w:rsidRDefault="00976D28" w:rsidP="00E6370B">
            <w:pPr>
              <w:rPr>
                <w:rFonts w:ascii="Times New Roman" w:hAnsi="Times New Roman"/>
              </w:rPr>
            </w:pPr>
            <w:r>
              <w:rPr>
                <w:rFonts w:ascii="Times New Roman" w:hAnsi="Times New Roman"/>
              </w:rPr>
              <w:t>255</w:t>
            </w:r>
          </w:p>
        </w:tc>
        <w:tc>
          <w:tcPr>
            <w:tcW w:w="1440" w:type="dxa"/>
          </w:tcPr>
          <w:p w14:paraId="21B43822" w14:textId="0CEDDA6B" w:rsidR="00976D28" w:rsidRPr="00E6370B" w:rsidRDefault="00976D28" w:rsidP="00E6370B">
            <w:pPr>
              <w:rPr>
                <w:rFonts w:ascii="Times New Roman" w:hAnsi="Times New Roman"/>
              </w:rPr>
            </w:pPr>
            <w:r>
              <w:rPr>
                <w:rFonts w:ascii="Times New Roman" w:hAnsi="Times New Roman"/>
              </w:rPr>
              <w:t>65.7</w:t>
            </w:r>
          </w:p>
        </w:tc>
      </w:tr>
      <w:tr w:rsidR="00976D28" w:rsidRPr="00E6370B" w14:paraId="242574A3" w14:textId="19DA2AE0" w:rsidTr="00417593">
        <w:trPr>
          <w:trHeight w:val="280"/>
        </w:trPr>
        <w:tc>
          <w:tcPr>
            <w:tcW w:w="1530" w:type="dxa"/>
            <w:noWrap/>
            <w:vAlign w:val="center"/>
          </w:tcPr>
          <w:p w14:paraId="0DF05B9D" w14:textId="13B6E048" w:rsidR="00976D28" w:rsidRPr="00E6370B" w:rsidRDefault="00976D28" w:rsidP="00976D28">
            <w:pPr>
              <w:jc w:val="center"/>
              <w:rPr>
                <w:rFonts w:ascii="Times New Roman" w:hAnsi="Times New Roman"/>
              </w:rPr>
            </w:pPr>
            <w:r w:rsidRPr="00E6370B">
              <w:rPr>
                <w:rFonts w:ascii="Times New Roman" w:hAnsi="Times New Roman"/>
              </w:rPr>
              <w:t>Total</w:t>
            </w:r>
          </w:p>
        </w:tc>
        <w:tc>
          <w:tcPr>
            <w:tcW w:w="1080" w:type="dxa"/>
            <w:noWrap/>
          </w:tcPr>
          <w:p w14:paraId="58F75BCB" w14:textId="37CF4C7C" w:rsidR="00976D28" w:rsidRPr="00E6370B" w:rsidRDefault="00976D28" w:rsidP="00E6370B">
            <w:pPr>
              <w:rPr>
                <w:rFonts w:ascii="Times New Roman" w:hAnsi="Times New Roman"/>
              </w:rPr>
            </w:pPr>
            <w:r w:rsidRPr="00E6370B">
              <w:rPr>
                <w:rFonts w:ascii="Times New Roman" w:hAnsi="Times New Roman"/>
              </w:rPr>
              <w:t>346</w:t>
            </w:r>
          </w:p>
        </w:tc>
        <w:tc>
          <w:tcPr>
            <w:tcW w:w="1350" w:type="dxa"/>
            <w:noWrap/>
          </w:tcPr>
          <w:p w14:paraId="248958B5" w14:textId="095F81BA" w:rsidR="00976D28" w:rsidRPr="00E6370B" w:rsidRDefault="00976D28" w:rsidP="00E6370B">
            <w:pPr>
              <w:rPr>
                <w:rFonts w:ascii="Times New Roman" w:hAnsi="Times New Roman"/>
              </w:rPr>
            </w:pPr>
            <w:r w:rsidRPr="00E6370B">
              <w:rPr>
                <w:rFonts w:ascii="Times New Roman" w:hAnsi="Times New Roman"/>
              </w:rPr>
              <w:t>100</w:t>
            </w:r>
          </w:p>
        </w:tc>
        <w:tc>
          <w:tcPr>
            <w:tcW w:w="1170" w:type="dxa"/>
            <w:gridSpan w:val="2"/>
            <w:noWrap/>
          </w:tcPr>
          <w:p w14:paraId="441CE90D" w14:textId="619EE25F" w:rsidR="00976D28" w:rsidRPr="00E6370B" w:rsidRDefault="00976D28" w:rsidP="00E6370B">
            <w:pPr>
              <w:rPr>
                <w:rFonts w:ascii="Times New Roman" w:hAnsi="Times New Roman"/>
              </w:rPr>
            </w:pPr>
            <w:r>
              <w:rPr>
                <w:rFonts w:ascii="Times New Roman" w:hAnsi="Times New Roman"/>
              </w:rPr>
              <w:t>388</w:t>
            </w:r>
          </w:p>
        </w:tc>
        <w:tc>
          <w:tcPr>
            <w:tcW w:w="1440" w:type="dxa"/>
          </w:tcPr>
          <w:p w14:paraId="61AB8187" w14:textId="6FD983AA" w:rsidR="00976D28" w:rsidRPr="00E6370B" w:rsidRDefault="00E01FDC" w:rsidP="00E6370B">
            <w:pPr>
              <w:rPr>
                <w:rFonts w:ascii="Times New Roman" w:hAnsi="Times New Roman"/>
              </w:rPr>
            </w:pPr>
            <w:r>
              <w:rPr>
                <w:rFonts w:ascii="Times New Roman" w:hAnsi="Times New Roman"/>
              </w:rPr>
              <w:t>100</w:t>
            </w:r>
          </w:p>
        </w:tc>
      </w:tr>
    </w:tbl>
    <w:p w14:paraId="2D74EB0E" w14:textId="77777777" w:rsidR="00E6370B" w:rsidRDefault="00E6370B" w:rsidP="002B0710">
      <w:pPr>
        <w:rPr>
          <w:rFonts w:ascii="Times New Roman" w:hAnsi="Times New Roman"/>
        </w:rPr>
      </w:pPr>
    </w:p>
    <w:p w14:paraId="796A4F73" w14:textId="4E4E5446" w:rsidR="00E6370B" w:rsidRDefault="003B3B38" w:rsidP="002B0710">
      <w:pPr>
        <w:rPr>
          <w:rFonts w:ascii="Times New Roman" w:hAnsi="Times New Roman"/>
        </w:rPr>
      </w:pPr>
      <w:r>
        <w:rPr>
          <w:rFonts w:ascii="Times New Roman" w:hAnsi="Times New Roman"/>
        </w:rPr>
        <w:t>Figure 1. The proportion of USC undergrad</w:t>
      </w:r>
      <w:r w:rsidR="00753552">
        <w:rPr>
          <w:rFonts w:ascii="Times New Roman" w:hAnsi="Times New Roman"/>
        </w:rPr>
        <w:t>uate</w:t>
      </w:r>
      <w:r>
        <w:rPr>
          <w:rFonts w:ascii="Times New Roman" w:hAnsi="Times New Roman"/>
        </w:rPr>
        <w:t xml:space="preserve"> students from EPI</w:t>
      </w:r>
      <w:r w:rsidR="00976D28">
        <w:rPr>
          <w:rFonts w:ascii="Times New Roman" w:hAnsi="Times New Roman"/>
        </w:rPr>
        <w:t xml:space="preserve"> in spring 2012</w:t>
      </w:r>
    </w:p>
    <w:p w14:paraId="6EC63E1D" w14:textId="655F4633" w:rsidR="00E6370B" w:rsidRDefault="00E6370B" w:rsidP="002B0710">
      <w:pPr>
        <w:rPr>
          <w:rFonts w:ascii="Times New Roman" w:hAnsi="Times New Roman"/>
        </w:rPr>
      </w:pPr>
      <w:r>
        <w:rPr>
          <w:noProof/>
        </w:rPr>
        <w:drawing>
          <wp:inline distT="0" distB="0" distL="0" distR="0" wp14:anchorId="1314F3AD" wp14:editId="5663B757">
            <wp:extent cx="2908935" cy="1310640"/>
            <wp:effectExtent l="0" t="0" r="37465"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76E709" w14:textId="656085C0" w:rsidR="00E6370B" w:rsidRDefault="00E01FDC" w:rsidP="005C7BF7">
      <w:pPr>
        <w:ind w:firstLine="720"/>
        <w:rPr>
          <w:rFonts w:ascii="Times New Roman" w:hAnsi="Times New Roman"/>
        </w:rPr>
      </w:pPr>
      <w:r>
        <w:rPr>
          <w:rFonts w:ascii="Times New Roman" w:hAnsi="Times New Roman"/>
        </w:rPr>
        <w:t>On the other hand, the number of USC grad</w:t>
      </w:r>
      <w:r w:rsidR="002815F3">
        <w:rPr>
          <w:rFonts w:ascii="Times New Roman" w:hAnsi="Times New Roman"/>
        </w:rPr>
        <w:t>uate</w:t>
      </w:r>
      <w:r>
        <w:rPr>
          <w:rFonts w:ascii="Times New Roman" w:hAnsi="Times New Roman"/>
        </w:rPr>
        <w:t xml:space="preserve"> students from EPI </w:t>
      </w:r>
      <w:r w:rsidR="00B807A7">
        <w:rPr>
          <w:rFonts w:ascii="Times New Roman" w:hAnsi="Times New Roman"/>
        </w:rPr>
        <w:t>numbered</w:t>
      </w:r>
      <w:r>
        <w:rPr>
          <w:rFonts w:ascii="Times New Roman" w:hAnsi="Times New Roman"/>
        </w:rPr>
        <w:t xml:space="preserve"> 40, which made up 4.5 % of the total of 880 grad students.</w:t>
      </w:r>
      <w:r w:rsidR="007230D1">
        <w:rPr>
          <w:rFonts w:ascii="Times New Roman" w:hAnsi="Times New Roman"/>
        </w:rPr>
        <w:t xml:space="preserve"> Compared to the data collected in fall 2010, </w:t>
      </w:r>
      <w:r w:rsidR="00B85E27">
        <w:rPr>
          <w:rFonts w:ascii="Times New Roman" w:hAnsi="Times New Roman"/>
        </w:rPr>
        <w:t>the total number of foreign grad</w:t>
      </w:r>
      <w:r w:rsidR="008117AA">
        <w:rPr>
          <w:rFonts w:ascii="Times New Roman" w:hAnsi="Times New Roman"/>
        </w:rPr>
        <w:t>uate</w:t>
      </w:r>
      <w:r w:rsidR="00B85E27">
        <w:rPr>
          <w:rFonts w:ascii="Times New Roman" w:hAnsi="Times New Roman"/>
        </w:rPr>
        <w:t xml:space="preserve"> students at USC increased by 38 (862 </w:t>
      </w:r>
      <w:r w:rsidR="00B85E27" w:rsidRPr="00B85E27">
        <w:rPr>
          <w:rFonts w:ascii="Times New Roman" w:hAnsi="Times New Roman"/>
        </w:rPr>
        <w:sym w:font="Wingdings" w:char="F0E0"/>
      </w:r>
      <w:r w:rsidR="00B85E27">
        <w:rPr>
          <w:rFonts w:ascii="Times New Roman" w:hAnsi="Times New Roman"/>
        </w:rPr>
        <w:t xml:space="preserve"> 880), but </w:t>
      </w:r>
      <w:r w:rsidR="00417593">
        <w:rPr>
          <w:rFonts w:ascii="Times New Roman" w:hAnsi="Times New Roman"/>
        </w:rPr>
        <w:t>the number of grad</w:t>
      </w:r>
      <w:r w:rsidR="002A4D8A">
        <w:rPr>
          <w:rFonts w:ascii="Times New Roman" w:hAnsi="Times New Roman"/>
        </w:rPr>
        <w:t>uate</w:t>
      </w:r>
      <w:r w:rsidR="00417593">
        <w:rPr>
          <w:rFonts w:ascii="Times New Roman" w:hAnsi="Times New Roman"/>
        </w:rPr>
        <w:t xml:space="preserve"> students </w:t>
      </w:r>
      <w:r w:rsidR="00B85E27">
        <w:rPr>
          <w:rFonts w:ascii="Times New Roman" w:hAnsi="Times New Roman"/>
        </w:rPr>
        <w:t>from EPI was not much different: a little increase of 3 students (40 vs. 37</w:t>
      </w:r>
      <w:r w:rsidR="00417593">
        <w:rPr>
          <w:rFonts w:ascii="Times New Roman" w:hAnsi="Times New Roman"/>
        </w:rPr>
        <w:t>) or by 0.4 %</w:t>
      </w:r>
      <w:r w:rsidR="00B85E27">
        <w:rPr>
          <w:rFonts w:ascii="Times New Roman" w:hAnsi="Times New Roman"/>
        </w:rPr>
        <w:t xml:space="preserve"> (4.5% vs. 4.15%)</w:t>
      </w:r>
      <w:r w:rsidR="00656495">
        <w:rPr>
          <w:rFonts w:ascii="Times New Roman" w:hAnsi="Times New Roman"/>
        </w:rPr>
        <w:t xml:space="preserve">. </w:t>
      </w:r>
      <w:r w:rsidR="000122A1">
        <w:rPr>
          <w:rFonts w:ascii="Times New Roman" w:hAnsi="Times New Roman"/>
        </w:rPr>
        <w:t xml:space="preserve"> Finally, the number of former EPI students studying in a professional school such as pharmacy was 2, and one of them was from EPI. In fall 2010, the total number of foreign student</w:t>
      </w:r>
      <w:r w:rsidR="002A4D8A">
        <w:rPr>
          <w:rFonts w:ascii="Times New Roman" w:hAnsi="Times New Roman"/>
        </w:rPr>
        <w:t>s</w:t>
      </w:r>
      <w:r w:rsidR="000122A1">
        <w:rPr>
          <w:rFonts w:ascii="Times New Roman" w:hAnsi="Times New Roman"/>
        </w:rPr>
        <w:t xml:space="preserve"> in this area was 6 students, and one from the 6 students was from EPI. </w:t>
      </w:r>
    </w:p>
    <w:p w14:paraId="615E3E49" w14:textId="42F7FF6D" w:rsidR="003B3B38" w:rsidRDefault="003B3B38" w:rsidP="003B3B38">
      <w:pPr>
        <w:rPr>
          <w:rFonts w:ascii="Times New Roman" w:hAnsi="Times New Roman"/>
        </w:rPr>
      </w:pPr>
      <w:r>
        <w:rPr>
          <w:rFonts w:ascii="Times New Roman" w:hAnsi="Times New Roman"/>
        </w:rPr>
        <w:lastRenderedPageBreak/>
        <w:t>Table 2. The number of USC grad</w:t>
      </w:r>
      <w:r w:rsidR="002A4D8A">
        <w:rPr>
          <w:rFonts w:ascii="Times New Roman" w:hAnsi="Times New Roman"/>
        </w:rPr>
        <w:t>uate</w:t>
      </w:r>
      <w:r>
        <w:rPr>
          <w:rFonts w:ascii="Times New Roman" w:hAnsi="Times New Roman"/>
        </w:rPr>
        <w:t xml:space="preserve"> students from EPI</w:t>
      </w:r>
    </w:p>
    <w:tbl>
      <w:tblPr>
        <w:tblStyle w:val="TableGrid"/>
        <w:tblW w:w="0" w:type="auto"/>
        <w:tblInd w:w="108" w:type="dxa"/>
        <w:tblLayout w:type="fixed"/>
        <w:tblLook w:val="04A0" w:firstRow="1" w:lastRow="0" w:firstColumn="1" w:lastColumn="0" w:noHBand="0" w:noVBand="1"/>
      </w:tblPr>
      <w:tblGrid>
        <w:gridCol w:w="1530"/>
        <w:gridCol w:w="1080"/>
        <w:gridCol w:w="1350"/>
        <w:gridCol w:w="6"/>
        <w:gridCol w:w="1164"/>
        <w:gridCol w:w="1440"/>
      </w:tblGrid>
      <w:tr w:rsidR="00E01FDC" w:rsidRPr="00E6370B" w14:paraId="45794868" w14:textId="77777777" w:rsidTr="00417593">
        <w:trPr>
          <w:trHeight w:val="280"/>
        </w:trPr>
        <w:tc>
          <w:tcPr>
            <w:tcW w:w="1530" w:type="dxa"/>
            <w:vMerge w:val="restart"/>
            <w:noWrap/>
            <w:vAlign w:val="center"/>
          </w:tcPr>
          <w:p w14:paraId="51B6ACB9" w14:textId="77777777" w:rsidR="00E01FDC" w:rsidRPr="00E6370B" w:rsidRDefault="00E01FDC" w:rsidP="00E01FDC">
            <w:pPr>
              <w:jc w:val="center"/>
              <w:rPr>
                <w:rFonts w:ascii="Times New Roman" w:hAnsi="Times New Roman"/>
              </w:rPr>
            </w:pPr>
            <w:r w:rsidRPr="00E6370B">
              <w:rPr>
                <w:rFonts w:ascii="Times New Roman" w:hAnsi="Times New Roman"/>
              </w:rPr>
              <w:t>Sources</w:t>
            </w:r>
          </w:p>
        </w:tc>
        <w:tc>
          <w:tcPr>
            <w:tcW w:w="2436" w:type="dxa"/>
            <w:gridSpan w:val="3"/>
          </w:tcPr>
          <w:p w14:paraId="680D13C4" w14:textId="77777777" w:rsidR="00E01FDC" w:rsidRPr="00E6370B" w:rsidRDefault="00E01FDC" w:rsidP="00E01FDC">
            <w:pPr>
              <w:jc w:val="center"/>
              <w:rPr>
                <w:rFonts w:ascii="Times New Roman" w:hAnsi="Times New Roman"/>
              </w:rPr>
            </w:pPr>
            <w:r>
              <w:rPr>
                <w:rFonts w:ascii="Times New Roman" w:hAnsi="Times New Roman"/>
              </w:rPr>
              <w:t>Spring 2012</w:t>
            </w:r>
          </w:p>
        </w:tc>
        <w:tc>
          <w:tcPr>
            <w:tcW w:w="2604" w:type="dxa"/>
            <w:gridSpan w:val="2"/>
            <w:noWrap/>
          </w:tcPr>
          <w:p w14:paraId="58BC28E2" w14:textId="77777777" w:rsidR="00E01FDC" w:rsidRPr="00E6370B" w:rsidRDefault="00E01FDC" w:rsidP="00E01FDC">
            <w:pPr>
              <w:jc w:val="center"/>
              <w:rPr>
                <w:rFonts w:ascii="Times New Roman" w:hAnsi="Times New Roman"/>
              </w:rPr>
            </w:pPr>
            <w:r>
              <w:rPr>
                <w:rFonts w:ascii="Times New Roman" w:hAnsi="Times New Roman"/>
              </w:rPr>
              <w:t>Fall 2010</w:t>
            </w:r>
          </w:p>
        </w:tc>
      </w:tr>
      <w:tr w:rsidR="00E01FDC" w:rsidRPr="00E6370B" w14:paraId="7F42521F" w14:textId="77777777" w:rsidTr="00417593">
        <w:trPr>
          <w:trHeight w:val="280"/>
        </w:trPr>
        <w:tc>
          <w:tcPr>
            <w:tcW w:w="1530" w:type="dxa"/>
            <w:vMerge/>
            <w:noWrap/>
          </w:tcPr>
          <w:p w14:paraId="58DBA39C" w14:textId="77777777" w:rsidR="00E01FDC" w:rsidRDefault="00E01FDC" w:rsidP="00E01FDC">
            <w:pPr>
              <w:rPr>
                <w:rFonts w:ascii="Times New Roman" w:hAnsi="Times New Roman"/>
              </w:rPr>
            </w:pPr>
          </w:p>
        </w:tc>
        <w:tc>
          <w:tcPr>
            <w:tcW w:w="1080" w:type="dxa"/>
            <w:noWrap/>
          </w:tcPr>
          <w:p w14:paraId="7D206BBD" w14:textId="77777777" w:rsidR="00E01FDC" w:rsidRPr="00E6370B" w:rsidRDefault="00E01FDC" w:rsidP="00E01FDC">
            <w:pPr>
              <w:rPr>
                <w:rFonts w:ascii="Times New Roman" w:hAnsi="Times New Roman"/>
              </w:rPr>
            </w:pPr>
            <w:r>
              <w:rPr>
                <w:rFonts w:ascii="Times New Roman" w:hAnsi="Times New Roman"/>
              </w:rPr>
              <w:t>Number</w:t>
            </w:r>
          </w:p>
        </w:tc>
        <w:tc>
          <w:tcPr>
            <w:tcW w:w="1350" w:type="dxa"/>
            <w:noWrap/>
          </w:tcPr>
          <w:p w14:paraId="5FD22A38" w14:textId="77777777" w:rsidR="00E01FDC" w:rsidRPr="00E6370B" w:rsidRDefault="00E01FDC" w:rsidP="00E01FDC">
            <w:pPr>
              <w:rPr>
                <w:rFonts w:ascii="Times New Roman" w:hAnsi="Times New Roman"/>
              </w:rPr>
            </w:pPr>
            <w:r>
              <w:rPr>
                <w:rFonts w:ascii="Times New Roman" w:hAnsi="Times New Roman"/>
              </w:rPr>
              <w:t>Percentage</w:t>
            </w:r>
          </w:p>
        </w:tc>
        <w:tc>
          <w:tcPr>
            <w:tcW w:w="1170" w:type="dxa"/>
            <w:gridSpan w:val="2"/>
            <w:noWrap/>
          </w:tcPr>
          <w:p w14:paraId="1CAA8A3A" w14:textId="77777777" w:rsidR="00E01FDC" w:rsidRPr="00E6370B" w:rsidRDefault="00E01FDC" w:rsidP="00E01FDC">
            <w:pPr>
              <w:rPr>
                <w:rFonts w:ascii="Times New Roman" w:hAnsi="Times New Roman"/>
              </w:rPr>
            </w:pPr>
            <w:r>
              <w:rPr>
                <w:rFonts w:ascii="Times New Roman" w:hAnsi="Times New Roman"/>
              </w:rPr>
              <w:t>Number</w:t>
            </w:r>
          </w:p>
        </w:tc>
        <w:tc>
          <w:tcPr>
            <w:tcW w:w="1440" w:type="dxa"/>
          </w:tcPr>
          <w:p w14:paraId="55858B6A" w14:textId="77777777" w:rsidR="00E01FDC" w:rsidRPr="00E6370B" w:rsidRDefault="00E01FDC" w:rsidP="00E01FDC">
            <w:pPr>
              <w:rPr>
                <w:rFonts w:ascii="Times New Roman" w:hAnsi="Times New Roman"/>
              </w:rPr>
            </w:pPr>
            <w:r>
              <w:rPr>
                <w:rFonts w:ascii="Times New Roman" w:hAnsi="Times New Roman"/>
              </w:rPr>
              <w:t>Percentage</w:t>
            </w:r>
          </w:p>
        </w:tc>
      </w:tr>
      <w:tr w:rsidR="00E01FDC" w:rsidRPr="00E6370B" w14:paraId="60A601A1" w14:textId="77777777" w:rsidTr="00417593">
        <w:trPr>
          <w:trHeight w:val="280"/>
        </w:trPr>
        <w:tc>
          <w:tcPr>
            <w:tcW w:w="1530" w:type="dxa"/>
            <w:noWrap/>
            <w:vAlign w:val="center"/>
            <w:hideMark/>
          </w:tcPr>
          <w:p w14:paraId="2E556FB1" w14:textId="77777777" w:rsidR="00E01FDC" w:rsidRPr="00E6370B" w:rsidRDefault="00E01FDC" w:rsidP="00E01FDC">
            <w:pPr>
              <w:jc w:val="center"/>
              <w:rPr>
                <w:rFonts w:ascii="Times New Roman" w:hAnsi="Times New Roman"/>
              </w:rPr>
            </w:pPr>
            <w:r>
              <w:rPr>
                <w:rFonts w:ascii="Times New Roman" w:hAnsi="Times New Roman"/>
              </w:rPr>
              <w:t>EPI</w:t>
            </w:r>
          </w:p>
        </w:tc>
        <w:tc>
          <w:tcPr>
            <w:tcW w:w="1080" w:type="dxa"/>
            <w:noWrap/>
          </w:tcPr>
          <w:p w14:paraId="1EAA99AB" w14:textId="4186FF9B" w:rsidR="00E01FDC" w:rsidRPr="00E6370B" w:rsidRDefault="00E01FDC" w:rsidP="00E01FDC">
            <w:pPr>
              <w:rPr>
                <w:rFonts w:ascii="Times New Roman" w:hAnsi="Times New Roman"/>
              </w:rPr>
            </w:pPr>
            <w:r w:rsidRPr="00D11866">
              <w:rPr>
                <w:rFonts w:ascii="Times New Roman" w:hAnsi="Times New Roman"/>
              </w:rPr>
              <w:t>40</w:t>
            </w:r>
          </w:p>
        </w:tc>
        <w:tc>
          <w:tcPr>
            <w:tcW w:w="1350" w:type="dxa"/>
            <w:noWrap/>
          </w:tcPr>
          <w:p w14:paraId="11D5E9B9" w14:textId="55F7F0B7" w:rsidR="00E01FDC" w:rsidRPr="00E6370B" w:rsidRDefault="00E01FDC" w:rsidP="00E01FDC">
            <w:pPr>
              <w:rPr>
                <w:rFonts w:ascii="Times New Roman" w:hAnsi="Times New Roman"/>
              </w:rPr>
            </w:pPr>
            <w:r>
              <w:rPr>
                <w:rFonts w:ascii="Times New Roman" w:hAnsi="Times New Roman"/>
              </w:rPr>
              <w:t>4.5</w:t>
            </w:r>
          </w:p>
        </w:tc>
        <w:tc>
          <w:tcPr>
            <w:tcW w:w="1170" w:type="dxa"/>
            <w:gridSpan w:val="2"/>
            <w:noWrap/>
          </w:tcPr>
          <w:p w14:paraId="56742550" w14:textId="2DC491D4" w:rsidR="00E01FDC" w:rsidRPr="00E6370B" w:rsidRDefault="00E01FDC" w:rsidP="00E01FDC">
            <w:pPr>
              <w:rPr>
                <w:rFonts w:ascii="Times New Roman" w:hAnsi="Times New Roman"/>
              </w:rPr>
            </w:pPr>
            <w:r>
              <w:rPr>
                <w:rFonts w:ascii="Times New Roman" w:hAnsi="Times New Roman"/>
              </w:rPr>
              <w:t>37</w:t>
            </w:r>
          </w:p>
        </w:tc>
        <w:tc>
          <w:tcPr>
            <w:tcW w:w="1440" w:type="dxa"/>
          </w:tcPr>
          <w:p w14:paraId="40C8565D" w14:textId="0F16B82C" w:rsidR="00E01FDC" w:rsidRPr="00E6370B" w:rsidRDefault="00E01FDC" w:rsidP="00E01FDC">
            <w:pPr>
              <w:rPr>
                <w:rFonts w:ascii="Times New Roman" w:hAnsi="Times New Roman"/>
              </w:rPr>
            </w:pPr>
            <w:r>
              <w:rPr>
                <w:rFonts w:ascii="Times New Roman" w:hAnsi="Times New Roman"/>
              </w:rPr>
              <w:t>4.1</w:t>
            </w:r>
          </w:p>
        </w:tc>
      </w:tr>
      <w:tr w:rsidR="00E01FDC" w:rsidRPr="00E6370B" w14:paraId="01DFBA85" w14:textId="77777777" w:rsidTr="00417593">
        <w:trPr>
          <w:trHeight w:val="280"/>
        </w:trPr>
        <w:tc>
          <w:tcPr>
            <w:tcW w:w="1530" w:type="dxa"/>
            <w:noWrap/>
            <w:vAlign w:val="center"/>
            <w:hideMark/>
          </w:tcPr>
          <w:p w14:paraId="5B996124" w14:textId="77777777" w:rsidR="00E01FDC" w:rsidRPr="00E6370B" w:rsidRDefault="00E01FDC" w:rsidP="00E01FDC">
            <w:pPr>
              <w:jc w:val="center"/>
              <w:rPr>
                <w:rFonts w:ascii="Times New Roman" w:hAnsi="Times New Roman"/>
              </w:rPr>
            </w:pPr>
            <w:r>
              <w:rPr>
                <w:rFonts w:ascii="Times New Roman" w:hAnsi="Times New Roman"/>
              </w:rPr>
              <w:t>Non-EPI</w:t>
            </w:r>
          </w:p>
        </w:tc>
        <w:tc>
          <w:tcPr>
            <w:tcW w:w="1080" w:type="dxa"/>
            <w:noWrap/>
          </w:tcPr>
          <w:p w14:paraId="2630923F" w14:textId="5027DC55" w:rsidR="00E01FDC" w:rsidRPr="00E6370B" w:rsidRDefault="00E01FDC" w:rsidP="00E01FDC">
            <w:pPr>
              <w:rPr>
                <w:rFonts w:ascii="Times New Roman" w:hAnsi="Times New Roman"/>
              </w:rPr>
            </w:pPr>
            <w:r w:rsidRPr="00D11866">
              <w:rPr>
                <w:rFonts w:ascii="Times New Roman" w:hAnsi="Times New Roman"/>
              </w:rPr>
              <w:t>840</w:t>
            </w:r>
          </w:p>
        </w:tc>
        <w:tc>
          <w:tcPr>
            <w:tcW w:w="1350" w:type="dxa"/>
            <w:noWrap/>
          </w:tcPr>
          <w:p w14:paraId="30675181" w14:textId="23DA7712" w:rsidR="00E01FDC" w:rsidRPr="00E6370B" w:rsidRDefault="00E01FDC" w:rsidP="00E01FDC">
            <w:pPr>
              <w:rPr>
                <w:rFonts w:ascii="Times New Roman" w:hAnsi="Times New Roman"/>
              </w:rPr>
            </w:pPr>
            <w:r>
              <w:rPr>
                <w:rFonts w:ascii="Times New Roman" w:hAnsi="Times New Roman"/>
              </w:rPr>
              <w:t>95.5</w:t>
            </w:r>
          </w:p>
        </w:tc>
        <w:tc>
          <w:tcPr>
            <w:tcW w:w="1170" w:type="dxa"/>
            <w:gridSpan w:val="2"/>
            <w:noWrap/>
          </w:tcPr>
          <w:p w14:paraId="06AE9ACF" w14:textId="691B4376" w:rsidR="00E01FDC" w:rsidRPr="00E6370B" w:rsidRDefault="00E01FDC" w:rsidP="00E01FDC">
            <w:pPr>
              <w:rPr>
                <w:rFonts w:ascii="Times New Roman" w:hAnsi="Times New Roman"/>
              </w:rPr>
            </w:pPr>
            <w:r>
              <w:rPr>
                <w:rFonts w:ascii="Times New Roman" w:hAnsi="Times New Roman"/>
              </w:rPr>
              <w:t>862</w:t>
            </w:r>
          </w:p>
        </w:tc>
        <w:tc>
          <w:tcPr>
            <w:tcW w:w="1440" w:type="dxa"/>
          </w:tcPr>
          <w:p w14:paraId="73759B9D" w14:textId="75A42029" w:rsidR="00E01FDC" w:rsidRPr="00E6370B" w:rsidRDefault="00E01FDC" w:rsidP="00E01FDC">
            <w:pPr>
              <w:rPr>
                <w:rFonts w:ascii="Times New Roman" w:hAnsi="Times New Roman"/>
              </w:rPr>
            </w:pPr>
            <w:r>
              <w:rPr>
                <w:rFonts w:ascii="Times New Roman" w:hAnsi="Times New Roman"/>
              </w:rPr>
              <w:t>95.9</w:t>
            </w:r>
          </w:p>
        </w:tc>
      </w:tr>
      <w:tr w:rsidR="00E01FDC" w:rsidRPr="00E6370B" w14:paraId="7EAA8C69" w14:textId="77777777" w:rsidTr="00417593">
        <w:trPr>
          <w:trHeight w:val="280"/>
        </w:trPr>
        <w:tc>
          <w:tcPr>
            <w:tcW w:w="1530" w:type="dxa"/>
            <w:noWrap/>
            <w:vAlign w:val="center"/>
          </w:tcPr>
          <w:p w14:paraId="7F0323C1" w14:textId="77777777" w:rsidR="00E01FDC" w:rsidRPr="00E6370B" w:rsidRDefault="00E01FDC" w:rsidP="00E01FDC">
            <w:pPr>
              <w:jc w:val="center"/>
              <w:rPr>
                <w:rFonts w:ascii="Times New Roman" w:hAnsi="Times New Roman"/>
              </w:rPr>
            </w:pPr>
            <w:r w:rsidRPr="00E6370B">
              <w:rPr>
                <w:rFonts w:ascii="Times New Roman" w:hAnsi="Times New Roman"/>
              </w:rPr>
              <w:t>Total</w:t>
            </w:r>
          </w:p>
        </w:tc>
        <w:tc>
          <w:tcPr>
            <w:tcW w:w="1080" w:type="dxa"/>
            <w:noWrap/>
          </w:tcPr>
          <w:p w14:paraId="367FA019" w14:textId="3E86F480" w:rsidR="00E01FDC" w:rsidRPr="00E6370B" w:rsidRDefault="00E01FDC" w:rsidP="00E01FDC">
            <w:pPr>
              <w:rPr>
                <w:rFonts w:ascii="Times New Roman" w:hAnsi="Times New Roman"/>
              </w:rPr>
            </w:pPr>
            <w:r>
              <w:rPr>
                <w:rFonts w:ascii="Times New Roman" w:hAnsi="Times New Roman"/>
              </w:rPr>
              <w:t>880</w:t>
            </w:r>
          </w:p>
        </w:tc>
        <w:tc>
          <w:tcPr>
            <w:tcW w:w="1350" w:type="dxa"/>
            <w:noWrap/>
          </w:tcPr>
          <w:p w14:paraId="592DA8BC" w14:textId="77777777" w:rsidR="00E01FDC" w:rsidRPr="00E6370B" w:rsidRDefault="00E01FDC" w:rsidP="00E01FDC">
            <w:pPr>
              <w:rPr>
                <w:rFonts w:ascii="Times New Roman" w:hAnsi="Times New Roman"/>
              </w:rPr>
            </w:pPr>
            <w:r w:rsidRPr="00E6370B">
              <w:rPr>
                <w:rFonts w:ascii="Times New Roman" w:hAnsi="Times New Roman"/>
              </w:rPr>
              <w:t>100</w:t>
            </w:r>
          </w:p>
        </w:tc>
        <w:tc>
          <w:tcPr>
            <w:tcW w:w="1170" w:type="dxa"/>
            <w:gridSpan w:val="2"/>
            <w:noWrap/>
          </w:tcPr>
          <w:p w14:paraId="47AF2357" w14:textId="5687AB54" w:rsidR="00E01FDC" w:rsidRPr="00E6370B" w:rsidRDefault="00E01FDC" w:rsidP="00E01FDC">
            <w:pPr>
              <w:rPr>
                <w:rFonts w:ascii="Times New Roman" w:hAnsi="Times New Roman"/>
              </w:rPr>
            </w:pPr>
            <w:r>
              <w:rPr>
                <w:rFonts w:ascii="Times New Roman" w:hAnsi="Times New Roman"/>
              </w:rPr>
              <w:t>862</w:t>
            </w:r>
          </w:p>
        </w:tc>
        <w:tc>
          <w:tcPr>
            <w:tcW w:w="1440" w:type="dxa"/>
          </w:tcPr>
          <w:p w14:paraId="24EBA1CA" w14:textId="069D03C7" w:rsidR="00E01FDC" w:rsidRPr="00E6370B" w:rsidRDefault="00E01FDC" w:rsidP="00E01FDC">
            <w:pPr>
              <w:rPr>
                <w:rFonts w:ascii="Times New Roman" w:hAnsi="Times New Roman"/>
              </w:rPr>
            </w:pPr>
            <w:r>
              <w:rPr>
                <w:rFonts w:ascii="Times New Roman" w:hAnsi="Times New Roman"/>
              </w:rPr>
              <w:t>100</w:t>
            </w:r>
          </w:p>
        </w:tc>
      </w:tr>
    </w:tbl>
    <w:p w14:paraId="0BB16835" w14:textId="77777777" w:rsidR="007C4942" w:rsidRDefault="007C4942" w:rsidP="003B3B38">
      <w:pPr>
        <w:rPr>
          <w:rFonts w:ascii="Times New Roman" w:hAnsi="Times New Roman"/>
        </w:rPr>
      </w:pPr>
    </w:p>
    <w:p w14:paraId="24CB0B84" w14:textId="0F8C64D2" w:rsidR="003B3B38" w:rsidRDefault="003B3B38" w:rsidP="003B3B38">
      <w:pPr>
        <w:rPr>
          <w:rFonts w:ascii="Times New Roman" w:hAnsi="Times New Roman"/>
        </w:rPr>
      </w:pPr>
      <w:r>
        <w:rPr>
          <w:rFonts w:ascii="Times New Roman" w:hAnsi="Times New Roman"/>
        </w:rPr>
        <w:t>Figure 2. The proportion of USC grad students from EPI</w:t>
      </w:r>
    </w:p>
    <w:p w14:paraId="4EB3C375" w14:textId="55FF68F6" w:rsidR="003B3B38" w:rsidRDefault="00D11866" w:rsidP="002B0710">
      <w:pPr>
        <w:rPr>
          <w:rFonts w:ascii="Times New Roman" w:hAnsi="Times New Roman"/>
        </w:rPr>
      </w:pPr>
      <w:r>
        <w:rPr>
          <w:noProof/>
        </w:rPr>
        <w:drawing>
          <wp:inline distT="0" distB="0" distL="0" distR="0" wp14:anchorId="426A825A" wp14:editId="671172C4">
            <wp:extent cx="2566035" cy="1145540"/>
            <wp:effectExtent l="0" t="0" r="24765"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303ABB" w14:textId="77777777" w:rsidR="00D11866" w:rsidRDefault="00D11866" w:rsidP="002B0710">
      <w:pPr>
        <w:rPr>
          <w:rFonts w:ascii="Times New Roman" w:hAnsi="Times New Roman"/>
        </w:rPr>
      </w:pPr>
    </w:p>
    <w:p w14:paraId="109958B5" w14:textId="524252A0" w:rsidR="00D11866" w:rsidRDefault="00D11866" w:rsidP="002B0710">
      <w:pPr>
        <w:rPr>
          <w:rFonts w:ascii="Times New Roman" w:hAnsi="Times New Roman"/>
        </w:rPr>
      </w:pPr>
      <w:r>
        <w:rPr>
          <w:rFonts w:ascii="Times New Roman" w:hAnsi="Times New Roman"/>
        </w:rPr>
        <w:t xml:space="preserve">1.2 </w:t>
      </w:r>
      <w:r w:rsidR="005B2C22">
        <w:rPr>
          <w:rFonts w:ascii="Times New Roman" w:hAnsi="Times New Roman"/>
        </w:rPr>
        <w:t>Former EPI students’</w:t>
      </w:r>
      <w:r>
        <w:rPr>
          <w:rFonts w:ascii="Times New Roman" w:hAnsi="Times New Roman"/>
        </w:rPr>
        <w:t xml:space="preserve"> GPAs</w:t>
      </w:r>
      <w:r w:rsidR="00036E08">
        <w:rPr>
          <w:rFonts w:ascii="Times New Roman" w:hAnsi="Times New Roman"/>
        </w:rPr>
        <w:t xml:space="preserve"> and grades from English 101 and 102</w:t>
      </w:r>
    </w:p>
    <w:p w14:paraId="25521D86" w14:textId="7A64B047" w:rsidR="00A343C7" w:rsidRDefault="00161AC4" w:rsidP="002B0710">
      <w:pPr>
        <w:rPr>
          <w:rFonts w:ascii="Times New Roman" w:hAnsi="Times New Roman"/>
        </w:rPr>
      </w:pPr>
      <w:r>
        <w:rPr>
          <w:rFonts w:ascii="Times New Roman" w:hAnsi="Times New Roman"/>
        </w:rPr>
        <w:t>Of the t</w:t>
      </w:r>
      <w:r w:rsidR="00D14264">
        <w:rPr>
          <w:rFonts w:ascii="Times New Roman" w:hAnsi="Times New Roman"/>
        </w:rPr>
        <w:t xml:space="preserve">otal of 136 </w:t>
      </w:r>
      <w:r w:rsidR="00036E08">
        <w:rPr>
          <w:rFonts w:ascii="Times New Roman" w:hAnsi="Times New Roman"/>
        </w:rPr>
        <w:t xml:space="preserve">foreign </w:t>
      </w:r>
      <w:r w:rsidR="00D14264">
        <w:rPr>
          <w:rFonts w:ascii="Times New Roman" w:hAnsi="Times New Roman"/>
        </w:rPr>
        <w:t xml:space="preserve">students from EPI, </w:t>
      </w:r>
      <w:r>
        <w:rPr>
          <w:rFonts w:ascii="Times New Roman" w:hAnsi="Times New Roman"/>
        </w:rPr>
        <w:t xml:space="preserve">the number of students that had a GPA from courses attended was 105, and the average GPA </w:t>
      </w:r>
      <w:r w:rsidR="00513AC5">
        <w:rPr>
          <w:rFonts w:ascii="Times New Roman" w:hAnsi="Times New Roman"/>
        </w:rPr>
        <w:t>of</w:t>
      </w:r>
      <w:r>
        <w:rPr>
          <w:rFonts w:ascii="Times New Roman" w:hAnsi="Times New Roman"/>
        </w:rPr>
        <w:t xml:space="preserve"> these students was 3.30. </w:t>
      </w:r>
      <w:r w:rsidR="00D14264">
        <w:rPr>
          <w:rFonts w:ascii="Times New Roman" w:hAnsi="Times New Roman"/>
        </w:rPr>
        <w:t>Compared to the average GPA of 3.23 obtained from 140 students in spring 2010</w:t>
      </w:r>
      <w:proofErr w:type="gramStart"/>
      <w:r w:rsidR="00D14264">
        <w:rPr>
          <w:rFonts w:ascii="Times New Roman" w:hAnsi="Times New Roman"/>
        </w:rPr>
        <w:t xml:space="preserve">, </w:t>
      </w:r>
      <w:r>
        <w:rPr>
          <w:rFonts w:ascii="Times New Roman" w:hAnsi="Times New Roman"/>
        </w:rPr>
        <w:t xml:space="preserve"> </w:t>
      </w:r>
      <w:r w:rsidR="00D14264">
        <w:rPr>
          <w:rFonts w:ascii="Times New Roman" w:hAnsi="Times New Roman"/>
        </w:rPr>
        <w:t>there</w:t>
      </w:r>
      <w:proofErr w:type="gramEnd"/>
      <w:r w:rsidR="00D14264">
        <w:rPr>
          <w:rFonts w:ascii="Times New Roman" w:hAnsi="Times New Roman"/>
        </w:rPr>
        <w:t xml:space="preserve"> was a little increase in </w:t>
      </w:r>
      <w:r w:rsidR="00E107A7">
        <w:rPr>
          <w:rFonts w:ascii="Times New Roman" w:hAnsi="Times New Roman"/>
        </w:rPr>
        <w:t>GPA by 0.07. The average grade o</w:t>
      </w:r>
      <w:r w:rsidR="00D14264">
        <w:rPr>
          <w:rFonts w:ascii="Times New Roman" w:hAnsi="Times New Roman"/>
        </w:rPr>
        <w:t>n a 4</w:t>
      </w:r>
      <w:r w:rsidR="00E107A7">
        <w:rPr>
          <w:rFonts w:ascii="Times New Roman" w:hAnsi="Times New Roman"/>
        </w:rPr>
        <w:t>-</w:t>
      </w:r>
      <w:r w:rsidR="00D14264">
        <w:rPr>
          <w:rFonts w:ascii="Times New Roman" w:hAnsi="Times New Roman"/>
        </w:rPr>
        <w:t xml:space="preserve">point scale that 93 out of 136 students got from English 101 was 3.13, which was the same as that obtained from 121 students in spring 2010. Finally, the average </w:t>
      </w:r>
      <w:r w:rsidR="00421A09">
        <w:rPr>
          <w:rFonts w:ascii="Times New Roman" w:hAnsi="Times New Roman"/>
        </w:rPr>
        <w:t>GPA</w:t>
      </w:r>
      <w:r w:rsidR="00D14264">
        <w:rPr>
          <w:rFonts w:ascii="Times New Roman" w:hAnsi="Times New Roman"/>
        </w:rPr>
        <w:t xml:space="preserve"> that 82 students got from English 102 was 3.42, which was a little higher than that which was obtained from 76 students in spring 2010. Table 3 and Figure 3 </w:t>
      </w:r>
      <w:r w:rsidR="00BE154C">
        <w:rPr>
          <w:rFonts w:ascii="Times New Roman" w:hAnsi="Times New Roman"/>
        </w:rPr>
        <w:t>summarize</w:t>
      </w:r>
      <w:r w:rsidR="00D14264">
        <w:rPr>
          <w:rFonts w:ascii="Times New Roman" w:hAnsi="Times New Roman"/>
        </w:rPr>
        <w:t xml:space="preserve"> these </w:t>
      </w:r>
      <w:r w:rsidR="00E925F0">
        <w:rPr>
          <w:rFonts w:ascii="Times New Roman" w:hAnsi="Times New Roman"/>
        </w:rPr>
        <w:t>data</w:t>
      </w:r>
      <w:r w:rsidR="00D14264">
        <w:rPr>
          <w:rFonts w:ascii="Times New Roman" w:hAnsi="Times New Roman"/>
        </w:rPr>
        <w:t>.</w:t>
      </w:r>
    </w:p>
    <w:p w14:paraId="0C0B262E" w14:textId="48E38EE7" w:rsidR="00161AC4" w:rsidRDefault="00D11866" w:rsidP="002B0710">
      <w:pPr>
        <w:rPr>
          <w:rFonts w:ascii="Times New Roman" w:hAnsi="Times New Roman"/>
        </w:rPr>
      </w:pPr>
      <w:r>
        <w:rPr>
          <w:rFonts w:ascii="Times New Roman" w:hAnsi="Times New Roman"/>
        </w:rPr>
        <w:t xml:space="preserve"> </w:t>
      </w:r>
      <w:r w:rsidR="007C4942">
        <w:rPr>
          <w:rFonts w:ascii="Times New Roman" w:hAnsi="Times New Roman"/>
        </w:rPr>
        <w:t xml:space="preserve">Table 3. Former EPI Students’ </w:t>
      </w:r>
      <w:r w:rsidR="00161AC4">
        <w:rPr>
          <w:rFonts w:ascii="Times New Roman" w:hAnsi="Times New Roman"/>
        </w:rPr>
        <w:t>Average GPA and Grades from</w:t>
      </w:r>
      <w:r w:rsidR="007C4942" w:rsidRPr="007C4942">
        <w:rPr>
          <w:rFonts w:ascii="Times New Roman" w:hAnsi="Times New Roman"/>
        </w:rPr>
        <w:t xml:space="preserve"> English 101 and 102</w:t>
      </w:r>
    </w:p>
    <w:tbl>
      <w:tblPr>
        <w:tblStyle w:val="TableGrid"/>
        <w:tblW w:w="0" w:type="auto"/>
        <w:tblInd w:w="108" w:type="dxa"/>
        <w:tblLayout w:type="fixed"/>
        <w:tblLook w:val="04A0" w:firstRow="1" w:lastRow="0" w:firstColumn="1" w:lastColumn="0" w:noHBand="0" w:noVBand="1"/>
      </w:tblPr>
      <w:tblGrid>
        <w:gridCol w:w="1455"/>
        <w:gridCol w:w="1695"/>
        <w:gridCol w:w="1530"/>
        <w:gridCol w:w="1800"/>
      </w:tblGrid>
      <w:tr w:rsidR="00C1114A" w:rsidRPr="00161AC4" w14:paraId="43B2B3D3" w14:textId="77777777" w:rsidTr="00C1114A">
        <w:trPr>
          <w:trHeight w:val="264"/>
        </w:trPr>
        <w:tc>
          <w:tcPr>
            <w:tcW w:w="1455" w:type="dxa"/>
            <w:noWrap/>
            <w:hideMark/>
          </w:tcPr>
          <w:p w14:paraId="1FE432CD" w14:textId="74660EA1" w:rsidR="00161AC4" w:rsidRPr="00161AC4" w:rsidRDefault="00161AC4">
            <w:pPr>
              <w:rPr>
                <w:rFonts w:ascii="Times New Roman" w:hAnsi="Times New Roman"/>
              </w:rPr>
            </w:pPr>
            <w:r>
              <w:rPr>
                <w:rFonts w:ascii="Times New Roman" w:hAnsi="Times New Roman"/>
              </w:rPr>
              <w:t>Time Line</w:t>
            </w:r>
          </w:p>
        </w:tc>
        <w:tc>
          <w:tcPr>
            <w:tcW w:w="1695" w:type="dxa"/>
            <w:noWrap/>
            <w:hideMark/>
          </w:tcPr>
          <w:p w14:paraId="107DA306" w14:textId="77777777" w:rsidR="00161AC4" w:rsidRPr="00161AC4" w:rsidRDefault="00161AC4">
            <w:pPr>
              <w:rPr>
                <w:rFonts w:ascii="Times New Roman" w:hAnsi="Times New Roman"/>
              </w:rPr>
            </w:pPr>
            <w:r w:rsidRPr="00161AC4">
              <w:rPr>
                <w:rFonts w:ascii="Times New Roman" w:hAnsi="Times New Roman"/>
              </w:rPr>
              <w:t>GPA</w:t>
            </w:r>
          </w:p>
        </w:tc>
        <w:tc>
          <w:tcPr>
            <w:tcW w:w="1530" w:type="dxa"/>
            <w:noWrap/>
            <w:hideMark/>
          </w:tcPr>
          <w:p w14:paraId="3EE3C860" w14:textId="77777777" w:rsidR="00161AC4" w:rsidRPr="00161AC4" w:rsidRDefault="00161AC4">
            <w:pPr>
              <w:rPr>
                <w:rFonts w:ascii="Times New Roman" w:hAnsi="Times New Roman"/>
              </w:rPr>
            </w:pPr>
            <w:proofErr w:type="spellStart"/>
            <w:r w:rsidRPr="00161AC4">
              <w:rPr>
                <w:rFonts w:ascii="Times New Roman" w:hAnsi="Times New Roman"/>
              </w:rPr>
              <w:t>Eng</w:t>
            </w:r>
            <w:proofErr w:type="spellEnd"/>
            <w:r w:rsidRPr="00161AC4">
              <w:rPr>
                <w:rFonts w:ascii="Times New Roman" w:hAnsi="Times New Roman"/>
              </w:rPr>
              <w:t xml:space="preserve"> 101</w:t>
            </w:r>
          </w:p>
        </w:tc>
        <w:tc>
          <w:tcPr>
            <w:tcW w:w="1800" w:type="dxa"/>
            <w:noWrap/>
            <w:hideMark/>
          </w:tcPr>
          <w:p w14:paraId="438AECFE" w14:textId="77777777" w:rsidR="00161AC4" w:rsidRPr="00161AC4" w:rsidRDefault="00161AC4">
            <w:pPr>
              <w:rPr>
                <w:rFonts w:ascii="Times New Roman" w:hAnsi="Times New Roman"/>
              </w:rPr>
            </w:pPr>
            <w:proofErr w:type="spellStart"/>
            <w:r w:rsidRPr="00161AC4">
              <w:rPr>
                <w:rFonts w:ascii="Times New Roman" w:hAnsi="Times New Roman"/>
              </w:rPr>
              <w:t>Eng</w:t>
            </w:r>
            <w:proofErr w:type="spellEnd"/>
            <w:r w:rsidRPr="00161AC4">
              <w:rPr>
                <w:rFonts w:ascii="Times New Roman" w:hAnsi="Times New Roman"/>
              </w:rPr>
              <w:t xml:space="preserve"> 102</w:t>
            </w:r>
          </w:p>
        </w:tc>
      </w:tr>
      <w:tr w:rsidR="00C1114A" w:rsidRPr="00161AC4" w14:paraId="418CDDBB" w14:textId="77777777" w:rsidTr="00C1114A">
        <w:trPr>
          <w:trHeight w:val="264"/>
        </w:trPr>
        <w:tc>
          <w:tcPr>
            <w:tcW w:w="1455" w:type="dxa"/>
            <w:noWrap/>
            <w:hideMark/>
          </w:tcPr>
          <w:p w14:paraId="39A9808B" w14:textId="77777777" w:rsidR="00161AC4" w:rsidRPr="00161AC4" w:rsidRDefault="00161AC4">
            <w:pPr>
              <w:rPr>
                <w:rFonts w:ascii="Times New Roman" w:hAnsi="Times New Roman"/>
              </w:rPr>
            </w:pPr>
            <w:r w:rsidRPr="00161AC4">
              <w:rPr>
                <w:rFonts w:ascii="Times New Roman" w:hAnsi="Times New Roman"/>
              </w:rPr>
              <w:t>Spring 2012</w:t>
            </w:r>
          </w:p>
        </w:tc>
        <w:tc>
          <w:tcPr>
            <w:tcW w:w="1695" w:type="dxa"/>
            <w:noWrap/>
            <w:hideMark/>
          </w:tcPr>
          <w:p w14:paraId="36B514A3" w14:textId="54431C43" w:rsidR="00161AC4" w:rsidRPr="00161AC4" w:rsidRDefault="00161AC4" w:rsidP="00161AC4">
            <w:pPr>
              <w:rPr>
                <w:rFonts w:ascii="Times New Roman" w:hAnsi="Times New Roman"/>
              </w:rPr>
            </w:pPr>
            <w:r w:rsidRPr="00161AC4">
              <w:rPr>
                <w:rFonts w:ascii="Times New Roman" w:hAnsi="Times New Roman"/>
              </w:rPr>
              <w:t>3.30</w:t>
            </w:r>
            <w:r>
              <w:rPr>
                <w:rFonts w:ascii="Times New Roman" w:hAnsi="Times New Roman"/>
              </w:rPr>
              <w:t xml:space="preserve"> (n=105)</w:t>
            </w:r>
          </w:p>
        </w:tc>
        <w:tc>
          <w:tcPr>
            <w:tcW w:w="1530" w:type="dxa"/>
            <w:noWrap/>
            <w:hideMark/>
          </w:tcPr>
          <w:p w14:paraId="5BE57745" w14:textId="13299A7A" w:rsidR="00161AC4" w:rsidRPr="00161AC4" w:rsidRDefault="00161AC4" w:rsidP="00161AC4">
            <w:pPr>
              <w:rPr>
                <w:rFonts w:ascii="Times New Roman" w:hAnsi="Times New Roman"/>
              </w:rPr>
            </w:pPr>
            <w:r w:rsidRPr="00161AC4">
              <w:rPr>
                <w:rFonts w:ascii="Times New Roman" w:hAnsi="Times New Roman"/>
              </w:rPr>
              <w:t>3.18</w:t>
            </w:r>
            <w:r w:rsidR="00C1114A">
              <w:rPr>
                <w:rFonts w:ascii="Times New Roman" w:hAnsi="Times New Roman"/>
              </w:rPr>
              <w:t xml:space="preserve"> </w:t>
            </w:r>
            <w:r>
              <w:rPr>
                <w:rFonts w:ascii="Times New Roman" w:hAnsi="Times New Roman"/>
              </w:rPr>
              <w:t>(n=93)</w:t>
            </w:r>
          </w:p>
        </w:tc>
        <w:tc>
          <w:tcPr>
            <w:tcW w:w="1800" w:type="dxa"/>
            <w:noWrap/>
            <w:hideMark/>
          </w:tcPr>
          <w:p w14:paraId="0D1D8BE7" w14:textId="2711B54E" w:rsidR="00161AC4" w:rsidRPr="00161AC4" w:rsidRDefault="00161AC4" w:rsidP="00161AC4">
            <w:pPr>
              <w:rPr>
                <w:rFonts w:ascii="Times New Roman" w:hAnsi="Times New Roman"/>
              </w:rPr>
            </w:pPr>
            <w:r w:rsidRPr="00161AC4">
              <w:rPr>
                <w:rFonts w:ascii="Times New Roman" w:hAnsi="Times New Roman"/>
              </w:rPr>
              <w:t>3.42</w:t>
            </w:r>
            <w:r w:rsidR="00C1114A">
              <w:rPr>
                <w:rFonts w:ascii="Times New Roman" w:hAnsi="Times New Roman"/>
              </w:rPr>
              <w:t xml:space="preserve"> </w:t>
            </w:r>
            <w:r>
              <w:rPr>
                <w:rFonts w:ascii="Times New Roman" w:hAnsi="Times New Roman"/>
              </w:rPr>
              <w:t>(n=82)</w:t>
            </w:r>
          </w:p>
        </w:tc>
      </w:tr>
      <w:tr w:rsidR="00C1114A" w:rsidRPr="00161AC4" w14:paraId="168393EF" w14:textId="77777777" w:rsidTr="00C1114A">
        <w:trPr>
          <w:trHeight w:val="264"/>
        </w:trPr>
        <w:tc>
          <w:tcPr>
            <w:tcW w:w="1455" w:type="dxa"/>
            <w:noWrap/>
            <w:hideMark/>
          </w:tcPr>
          <w:p w14:paraId="54232D58" w14:textId="77777777" w:rsidR="00161AC4" w:rsidRPr="00161AC4" w:rsidRDefault="00161AC4">
            <w:pPr>
              <w:rPr>
                <w:rFonts w:ascii="Times New Roman" w:hAnsi="Times New Roman"/>
              </w:rPr>
            </w:pPr>
            <w:r w:rsidRPr="00161AC4">
              <w:rPr>
                <w:rFonts w:ascii="Times New Roman" w:hAnsi="Times New Roman"/>
              </w:rPr>
              <w:t>Spring 2010</w:t>
            </w:r>
          </w:p>
        </w:tc>
        <w:tc>
          <w:tcPr>
            <w:tcW w:w="1695" w:type="dxa"/>
            <w:noWrap/>
            <w:hideMark/>
          </w:tcPr>
          <w:p w14:paraId="648F5DB6" w14:textId="3FA8CBFD" w:rsidR="00161AC4" w:rsidRPr="00161AC4" w:rsidRDefault="00161AC4" w:rsidP="00161AC4">
            <w:pPr>
              <w:rPr>
                <w:rFonts w:ascii="Times New Roman" w:hAnsi="Times New Roman"/>
              </w:rPr>
            </w:pPr>
            <w:r w:rsidRPr="00161AC4">
              <w:rPr>
                <w:rFonts w:ascii="Times New Roman" w:hAnsi="Times New Roman"/>
              </w:rPr>
              <w:t>3.23</w:t>
            </w:r>
            <w:r w:rsidR="00C1114A">
              <w:rPr>
                <w:rFonts w:ascii="Times New Roman" w:hAnsi="Times New Roman"/>
              </w:rPr>
              <w:t xml:space="preserve"> </w:t>
            </w:r>
            <w:r>
              <w:rPr>
                <w:rFonts w:ascii="Times New Roman" w:hAnsi="Times New Roman"/>
              </w:rPr>
              <w:t>(n=140)</w:t>
            </w:r>
          </w:p>
        </w:tc>
        <w:tc>
          <w:tcPr>
            <w:tcW w:w="1530" w:type="dxa"/>
            <w:noWrap/>
            <w:hideMark/>
          </w:tcPr>
          <w:p w14:paraId="6B0AF9AA" w14:textId="39F5DB28" w:rsidR="00161AC4" w:rsidRPr="00161AC4" w:rsidRDefault="00161AC4" w:rsidP="00161AC4">
            <w:pPr>
              <w:rPr>
                <w:rFonts w:ascii="Times New Roman" w:hAnsi="Times New Roman"/>
              </w:rPr>
            </w:pPr>
            <w:r w:rsidRPr="00161AC4">
              <w:rPr>
                <w:rFonts w:ascii="Times New Roman" w:hAnsi="Times New Roman"/>
              </w:rPr>
              <w:t>3.18</w:t>
            </w:r>
            <w:r w:rsidR="00C1114A">
              <w:rPr>
                <w:rFonts w:ascii="Times New Roman" w:hAnsi="Times New Roman"/>
              </w:rPr>
              <w:t xml:space="preserve"> </w:t>
            </w:r>
            <w:r>
              <w:rPr>
                <w:rFonts w:ascii="Times New Roman" w:hAnsi="Times New Roman"/>
              </w:rPr>
              <w:t>(n=121)</w:t>
            </w:r>
          </w:p>
        </w:tc>
        <w:tc>
          <w:tcPr>
            <w:tcW w:w="1800" w:type="dxa"/>
            <w:noWrap/>
            <w:hideMark/>
          </w:tcPr>
          <w:p w14:paraId="1F18D3D7" w14:textId="60A8DE89" w:rsidR="00161AC4" w:rsidRPr="00161AC4" w:rsidRDefault="00161AC4" w:rsidP="00161AC4">
            <w:pPr>
              <w:rPr>
                <w:rFonts w:ascii="Times New Roman" w:hAnsi="Times New Roman"/>
              </w:rPr>
            </w:pPr>
            <w:r w:rsidRPr="00161AC4">
              <w:rPr>
                <w:rFonts w:ascii="Times New Roman" w:hAnsi="Times New Roman"/>
              </w:rPr>
              <w:t>3.34</w:t>
            </w:r>
            <w:r w:rsidR="00C1114A">
              <w:rPr>
                <w:rFonts w:ascii="Times New Roman" w:hAnsi="Times New Roman"/>
              </w:rPr>
              <w:t xml:space="preserve"> </w:t>
            </w:r>
            <w:r>
              <w:rPr>
                <w:rFonts w:ascii="Times New Roman" w:hAnsi="Times New Roman"/>
              </w:rPr>
              <w:t>(n=76)</w:t>
            </w:r>
          </w:p>
        </w:tc>
      </w:tr>
    </w:tbl>
    <w:p w14:paraId="007B3070" w14:textId="77777777" w:rsidR="00A343C7" w:rsidRDefault="00A343C7" w:rsidP="002B0710">
      <w:pPr>
        <w:rPr>
          <w:rFonts w:ascii="Times New Roman" w:hAnsi="Times New Roman"/>
        </w:rPr>
      </w:pPr>
    </w:p>
    <w:p w14:paraId="0A4C1BCC" w14:textId="358B3485" w:rsidR="00161AC4" w:rsidRDefault="00161AC4" w:rsidP="002B0710">
      <w:pPr>
        <w:rPr>
          <w:rFonts w:ascii="Times New Roman" w:hAnsi="Times New Roman"/>
        </w:rPr>
      </w:pPr>
      <w:r>
        <w:rPr>
          <w:rFonts w:ascii="Times New Roman" w:hAnsi="Times New Roman"/>
        </w:rPr>
        <w:t xml:space="preserve">Figure 3. </w:t>
      </w:r>
      <w:r w:rsidR="00036E08">
        <w:rPr>
          <w:rFonts w:ascii="Times New Roman" w:hAnsi="Times New Roman"/>
        </w:rPr>
        <w:t>The Average GPA and Grades from</w:t>
      </w:r>
      <w:r w:rsidR="00036E08" w:rsidRPr="007C4942">
        <w:rPr>
          <w:rFonts w:ascii="Times New Roman" w:hAnsi="Times New Roman"/>
        </w:rPr>
        <w:t xml:space="preserve"> English 101 and 102</w:t>
      </w:r>
      <w:r w:rsidR="00036E08">
        <w:rPr>
          <w:rFonts w:ascii="Times New Roman" w:hAnsi="Times New Roman"/>
        </w:rPr>
        <w:t xml:space="preserve"> of Former EPI Students</w:t>
      </w:r>
      <w:r>
        <w:rPr>
          <w:rFonts w:ascii="Times New Roman" w:hAnsi="Times New Roman"/>
        </w:rPr>
        <w:t xml:space="preserve"> </w:t>
      </w:r>
    </w:p>
    <w:p w14:paraId="24D30467" w14:textId="13F28C8B" w:rsidR="00161AC4" w:rsidRDefault="00161AC4" w:rsidP="002B0710">
      <w:pPr>
        <w:rPr>
          <w:rFonts w:ascii="Times New Roman" w:hAnsi="Times New Roman"/>
        </w:rPr>
      </w:pPr>
      <w:r>
        <w:rPr>
          <w:noProof/>
        </w:rPr>
        <w:drawing>
          <wp:inline distT="0" distB="0" distL="0" distR="0" wp14:anchorId="5B065B6E" wp14:editId="5F40F663">
            <wp:extent cx="2794635" cy="1295400"/>
            <wp:effectExtent l="0" t="0" r="24765"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2BE88A" w14:textId="26030230" w:rsidR="00D14264" w:rsidRDefault="00C1114A" w:rsidP="002B0710">
      <w:pPr>
        <w:rPr>
          <w:rFonts w:ascii="Times New Roman" w:hAnsi="Times New Roman"/>
        </w:rPr>
      </w:pPr>
      <w:r>
        <w:rPr>
          <w:rFonts w:ascii="Times New Roman" w:hAnsi="Times New Roman"/>
        </w:rPr>
        <w:t>2. Former EPI students’ academic achievement</w:t>
      </w:r>
      <w:r w:rsidR="00BE154C">
        <w:rPr>
          <w:rFonts w:ascii="Times New Roman" w:hAnsi="Times New Roman"/>
        </w:rPr>
        <w:t xml:space="preserve"> at USC</w:t>
      </w:r>
      <w:r w:rsidR="00D14264">
        <w:rPr>
          <w:rFonts w:ascii="Times New Roman" w:hAnsi="Times New Roman"/>
        </w:rPr>
        <w:t xml:space="preserve"> and </w:t>
      </w:r>
      <w:r w:rsidR="00BE154C">
        <w:rPr>
          <w:rFonts w:ascii="Times New Roman" w:hAnsi="Times New Roman"/>
        </w:rPr>
        <w:t>performance levels at EPI</w:t>
      </w:r>
    </w:p>
    <w:p w14:paraId="59496FB7" w14:textId="68AA3B72" w:rsidR="00BE154C" w:rsidRDefault="00BE154C" w:rsidP="002B0710">
      <w:pPr>
        <w:rPr>
          <w:rFonts w:ascii="Times New Roman" w:hAnsi="Times New Roman"/>
        </w:rPr>
      </w:pPr>
      <w:r>
        <w:rPr>
          <w:rFonts w:ascii="Times New Roman" w:hAnsi="Times New Roman"/>
        </w:rPr>
        <w:t>2.</w:t>
      </w:r>
      <w:r w:rsidR="004B4180">
        <w:rPr>
          <w:rFonts w:ascii="Times New Roman" w:hAnsi="Times New Roman"/>
        </w:rPr>
        <w:t xml:space="preserve">1 Former EPI students’ </w:t>
      </w:r>
      <w:r w:rsidR="00E9243D">
        <w:rPr>
          <w:rFonts w:ascii="Times New Roman" w:hAnsi="Times New Roman"/>
        </w:rPr>
        <w:t>academic work</w:t>
      </w:r>
      <w:r w:rsidR="004B4180">
        <w:rPr>
          <w:rFonts w:ascii="Times New Roman" w:hAnsi="Times New Roman"/>
        </w:rPr>
        <w:t xml:space="preserve"> </w:t>
      </w:r>
      <w:r>
        <w:rPr>
          <w:rFonts w:ascii="Times New Roman" w:hAnsi="Times New Roman"/>
        </w:rPr>
        <w:t>at USC and</w:t>
      </w:r>
      <w:r w:rsidR="004B4180">
        <w:rPr>
          <w:rFonts w:ascii="Times New Roman" w:hAnsi="Times New Roman"/>
        </w:rPr>
        <w:t xml:space="preserve"> </w:t>
      </w:r>
      <w:r w:rsidR="007C05E6">
        <w:rPr>
          <w:rFonts w:ascii="Times New Roman" w:hAnsi="Times New Roman"/>
        </w:rPr>
        <w:t>grade levels</w:t>
      </w:r>
      <w:r>
        <w:rPr>
          <w:rFonts w:ascii="Times New Roman" w:hAnsi="Times New Roman"/>
        </w:rPr>
        <w:t xml:space="preserve"> </w:t>
      </w:r>
      <w:r w:rsidR="004B4180">
        <w:rPr>
          <w:rFonts w:ascii="Times New Roman" w:hAnsi="Times New Roman"/>
        </w:rPr>
        <w:t xml:space="preserve">in EPI </w:t>
      </w:r>
      <w:r w:rsidR="007C05E6">
        <w:rPr>
          <w:rFonts w:ascii="Times New Roman" w:hAnsi="Times New Roman"/>
        </w:rPr>
        <w:t>GW</w:t>
      </w:r>
      <w:r w:rsidR="002401D1">
        <w:rPr>
          <w:rFonts w:ascii="Times New Roman" w:hAnsi="Times New Roman"/>
        </w:rPr>
        <w:t>/WG</w:t>
      </w:r>
      <w:r w:rsidR="007C05E6">
        <w:rPr>
          <w:rFonts w:ascii="Times New Roman" w:hAnsi="Times New Roman"/>
        </w:rPr>
        <w:t xml:space="preserve"> classes</w:t>
      </w:r>
    </w:p>
    <w:p w14:paraId="0400DEF9" w14:textId="4DE79BBE" w:rsidR="004B4180" w:rsidRDefault="007C05E6" w:rsidP="002B0710">
      <w:pPr>
        <w:rPr>
          <w:rFonts w:ascii="Times New Roman" w:hAnsi="Times New Roman"/>
        </w:rPr>
      </w:pPr>
      <w:r>
        <w:rPr>
          <w:rFonts w:ascii="Times New Roman" w:hAnsi="Times New Roman"/>
        </w:rPr>
        <w:t xml:space="preserve">2.1.1 </w:t>
      </w:r>
      <w:proofErr w:type="gramStart"/>
      <w:r>
        <w:rPr>
          <w:rFonts w:ascii="Times New Roman" w:hAnsi="Times New Roman"/>
        </w:rPr>
        <w:t>The</w:t>
      </w:r>
      <w:proofErr w:type="gramEnd"/>
      <w:r>
        <w:rPr>
          <w:rFonts w:ascii="Times New Roman" w:hAnsi="Times New Roman"/>
        </w:rPr>
        <w:t xml:space="preserve"> distribution </w:t>
      </w:r>
      <w:r w:rsidR="004B4180">
        <w:rPr>
          <w:rFonts w:ascii="Times New Roman" w:hAnsi="Times New Roman"/>
        </w:rPr>
        <w:t xml:space="preserve">of </w:t>
      </w:r>
      <w:r>
        <w:rPr>
          <w:rFonts w:ascii="Times New Roman" w:hAnsi="Times New Roman"/>
        </w:rPr>
        <w:t>f</w:t>
      </w:r>
      <w:r w:rsidR="004B4180">
        <w:rPr>
          <w:rFonts w:ascii="Times New Roman" w:hAnsi="Times New Roman"/>
        </w:rPr>
        <w:t>ormer EPI students</w:t>
      </w:r>
      <w:r>
        <w:rPr>
          <w:rFonts w:ascii="Times New Roman" w:hAnsi="Times New Roman"/>
        </w:rPr>
        <w:t>’</w:t>
      </w:r>
      <w:r w:rsidR="004B4180">
        <w:rPr>
          <w:rFonts w:ascii="Times New Roman" w:hAnsi="Times New Roman"/>
        </w:rPr>
        <w:t xml:space="preserve"> </w:t>
      </w:r>
      <w:r>
        <w:rPr>
          <w:rFonts w:ascii="Times New Roman" w:hAnsi="Times New Roman"/>
        </w:rPr>
        <w:t>grades at</w:t>
      </w:r>
      <w:r w:rsidR="004B4180">
        <w:rPr>
          <w:rFonts w:ascii="Times New Roman" w:hAnsi="Times New Roman"/>
        </w:rPr>
        <w:t xml:space="preserve"> level</w:t>
      </w:r>
      <w:r w:rsidR="00163F15">
        <w:rPr>
          <w:rFonts w:ascii="Times New Roman" w:hAnsi="Times New Roman"/>
        </w:rPr>
        <w:t>s</w:t>
      </w:r>
      <w:r>
        <w:rPr>
          <w:rFonts w:ascii="Times New Roman" w:hAnsi="Times New Roman"/>
        </w:rPr>
        <w:t xml:space="preserve"> 5 and 6</w:t>
      </w:r>
      <w:r w:rsidR="004B4180">
        <w:rPr>
          <w:rFonts w:ascii="Times New Roman" w:hAnsi="Times New Roman"/>
        </w:rPr>
        <w:t xml:space="preserve"> </w:t>
      </w:r>
    </w:p>
    <w:p w14:paraId="11C5DD11" w14:textId="2BC74774" w:rsidR="004B4180" w:rsidRDefault="0024076F" w:rsidP="002B0710">
      <w:pPr>
        <w:rPr>
          <w:rFonts w:ascii="Times New Roman" w:hAnsi="Times New Roman"/>
        </w:rPr>
      </w:pPr>
      <w:r w:rsidRPr="00FA37B8">
        <w:rPr>
          <w:rFonts w:ascii="Times New Roman" w:hAnsi="Times New Roman"/>
        </w:rPr>
        <w:t xml:space="preserve">Every </w:t>
      </w:r>
      <w:r w:rsidR="00084D8A">
        <w:rPr>
          <w:rFonts w:ascii="Times New Roman" w:hAnsi="Times New Roman"/>
        </w:rPr>
        <w:t>9</w:t>
      </w:r>
      <w:r w:rsidR="00DB72F8">
        <w:rPr>
          <w:rFonts w:ascii="Times New Roman" w:hAnsi="Times New Roman"/>
        </w:rPr>
        <w:t>-</w:t>
      </w:r>
      <w:r w:rsidR="00084D8A">
        <w:rPr>
          <w:rFonts w:ascii="Times New Roman" w:hAnsi="Times New Roman"/>
        </w:rPr>
        <w:t>week</w:t>
      </w:r>
      <w:r w:rsidR="00DB72F8">
        <w:rPr>
          <w:rFonts w:ascii="Times New Roman" w:hAnsi="Times New Roman"/>
        </w:rPr>
        <w:t xml:space="preserve"> </w:t>
      </w:r>
      <w:r w:rsidRPr="00FA37B8">
        <w:rPr>
          <w:rFonts w:ascii="Times New Roman" w:hAnsi="Times New Roman"/>
        </w:rPr>
        <w:t xml:space="preserve">term EPI offers </w:t>
      </w:r>
      <w:r w:rsidR="000B5B22">
        <w:rPr>
          <w:rFonts w:ascii="Times New Roman" w:hAnsi="Times New Roman"/>
        </w:rPr>
        <w:t>students three types of classes such as</w:t>
      </w:r>
      <w:r w:rsidRPr="00FA37B8">
        <w:rPr>
          <w:rFonts w:ascii="Times New Roman" w:hAnsi="Times New Roman"/>
        </w:rPr>
        <w:t xml:space="preserve"> Grammar/Writing (GW), Reading/Vocabulary (RV), and Speaki</w:t>
      </w:r>
      <w:r w:rsidR="00C75CA8">
        <w:rPr>
          <w:rFonts w:ascii="Times New Roman" w:hAnsi="Times New Roman"/>
        </w:rPr>
        <w:t xml:space="preserve">ng/Listening (SL), each of which has </w:t>
      </w:r>
      <w:r w:rsidR="000B5B22">
        <w:rPr>
          <w:rFonts w:ascii="Times New Roman" w:hAnsi="Times New Roman"/>
        </w:rPr>
        <w:t>6 levels in it (</w:t>
      </w:r>
      <w:r w:rsidRPr="00FA37B8">
        <w:rPr>
          <w:rFonts w:ascii="Times New Roman" w:hAnsi="Times New Roman"/>
        </w:rPr>
        <w:t>Level 6 is the highest</w:t>
      </w:r>
      <w:r w:rsidR="000B5B22">
        <w:rPr>
          <w:rFonts w:ascii="Times New Roman" w:hAnsi="Times New Roman"/>
        </w:rPr>
        <w:t xml:space="preserve"> proficiency level</w:t>
      </w:r>
      <w:r w:rsidR="004B4180">
        <w:rPr>
          <w:rFonts w:ascii="Times New Roman" w:hAnsi="Times New Roman"/>
        </w:rPr>
        <w:t xml:space="preserve"> and</w:t>
      </w:r>
      <w:r w:rsidR="006D2E2E" w:rsidRPr="00FA37B8">
        <w:rPr>
          <w:rFonts w:ascii="Times New Roman" w:hAnsi="Times New Roman"/>
        </w:rPr>
        <w:t xml:space="preserve"> </w:t>
      </w:r>
      <w:r w:rsidRPr="00FA37B8">
        <w:rPr>
          <w:rFonts w:ascii="Times New Roman" w:hAnsi="Times New Roman"/>
        </w:rPr>
        <w:t>Level 1 is the lowest)</w:t>
      </w:r>
      <w:r w:rsidR="000B5B22">
        <w:rPr>
          <w:rFonts w:ascii="Times New Roman" w:hAnsi="Times New Roman"/>
        </w:rPr>
        <w:t xml:space="preserve">. </w:t>
      </w:r>
      <w:r w:rsidR="004B4180">
        <w:rPr>
          <w:rFonts w:ascii="Times New Roman" w:hAnsi="Times New Roman"/>
        </w:rPr>
        <w:t>B</w:t>
      </w:r>
      <w:r w:rsidR="004B4180" w:rsidRPr="00FA37B8">
        <w:rPr>
          <w:rFonts w:ascii="Times New Roman" w:hAnsi="Times New Roman"/>
        </w:rPr>
        <w:t xml:space="preserve">ased on the results of the placement test </w:t>
      </w:r>
      <w:r w:rsidR="004B4180">
        <w:rPr>
          <w:rFonts w:ascii="Times New Roman" w:hAnsi="Times New Roman"/>
        </w:rPr>
        <w:t>that they took</w:t>
      </w:r>
      <w:r w:rsidR="004B4180" w:rsidRPr="00FA37B8">
        <w:rPr>
          <w:rFonts w:ascii="Times New Roman" w:hAnsi="Times New Roman"/>
        </w:rPr>
        <w:t xml:space="preserve"> before the term begins</w:t>
      </w:r>
      <w:r w:rsidR="004B4180">
        <w:rPr>
          <w:rFonts w:ascii="Times New Roman" w:hAnsi="Times New Roman"/>
        </w:rPr>
        <w:t>, EPI s</w:t>
      </w:r>
      <w:r w:rsidR="000B5B22">
        <w:rPr>
          <w:rFonts w:ascii="Times New Roman" w:hAnsi="Times New Roman"/>
        </w:rPr>
        <w:t>tudents are placed in one of the 6 levels across th</w:t>
      </w:r>
      <w:r w:rsidR="004B4180">
        <w:rPr>
          <w:rFonts w:ascii="Times New Roman" w:hAnsi="Times New Roman"/>
        </w:rPr>
        <w:t xml:space="preserve">e three class types. </w:t>
      </w:r>
    </w:p>
    <w:p w14:paraId="1E519D6E" w14:textId="68133805" w:rsidR="004B4180" w:rsidRDefault="00036E08" w:rsidP="0035787E">
      <w:pPr>
        <w:ind w:firstLine="720"/>
        <w:rPr>
          <w:rFonts w:ascii="Times New Roman" w:hAnsi="Times New Roman"/>
        </w:rPr>
      </w:pPr>
      <w:r>
        <w:rPr>
          <w:rFonts w:ascii="Times New Roman" w:hAnsi="Times New Roman"/>
        </w:rPr>
        <w:t xml:space="preserve">The numbers of students across EPI levels and their grades appear in Table 4 and Figure 4. </w:t>
      </w:r>
      <w:r w:rsidR="004B4180" w:rsidRPr="00FA37B8">
        <w:rPr>
          <w:rFonts w:ascii="Times New Roman" w:hAnsi="Times New Roman"/>
        </w:rPr>
        <w:t xml:space="preserve">Of the six levels in each class type, </w:t>
      </w:r>
      <w:r w:rsidR="0035787E">
        <w:rPr>
          <w:rFonts w:ascii="Times New Roman" w:hAnsi="Times New Roman"/>
        </w:rPr>
        <w:t>al</w:t>
      </w:r>
      <w:r w:rsidR="004B4180">
        <w:rPr>
          <w:rFonts w:ascii="Times New Roman" w:hAnsi="Times New Roman"/>
        </w:rPr>
        <w:t xml:space="preserve">most </w:t>
      </w:r>
      <w:r w:rsidR="0035787E">
        <w:rPr>
          <w:rFonts w:ascii="Times New Roman" w:hAnsi="Times New Roman"/>
        </w:rPr>
        <w:t xml:space="preserve">all </w:t>
      </w:r>
      <w:r w:rsidR="004B4180">
        <w:rPr>
          <w:rFonts w:ascii="Times New Roman" w:hAnsi="Times New Roman"/>
        </w:rPr>
        <w:t>of the stude</w:t>
      </w:r>
      <w:r w:rsidR="006D5EF7">
        <w:rPr>
          <w:rFonts w:ascii="Times New Roman" w:hAnsi="Times New Roman"/>
        </w:rPr>
        <w:t>nts attended level 5 and level 6</w:t>
      </w:r>
      <w:r w:rsidR="004B4180">
        <w:rPr>
          <w:rFonts w:ascii="Times New Roman" w:hAnsi="Times New Roman"/>
        </w:rPr>
        <w:t xml:space="preserve"> classes</w:t>
      </w:r>
      <w:r w:rsidR="0035787E">
        <w:rPr>
          <w:rFonts w:ascii="Times New Roman" w:hAnsi="Times New Roman"/>
        </w:rPr>
        <w:t xml:space="preserve"> </w:t>
      </w:r>
      <w:r w:rsidR="00DB72F8">
        <w:rPr>
          <w:rFonts w:ascii="Times New Roman" w:hAnsi="Times New Roman"/>
        </w:rPr>
        <w:t>in</w:t>
      </w:r>
      <w:r w:rsidR="0035787E">
        <w:rPr>
          <w:rFonts w:ascii="Times New Roman" w:hAnsi="Times New Roman"/>
        </w:rPr>
        <w:t xml:space="preserve"> their final</w:t>
      </w:r>
      <w:r w:rsidR="00DB72F8">
        <w:rPr>
          <w:rFonts w:ascii="Times New Roman" w:hAnsi="Times New Roman"/>
        </w:rPr>
        <w:t xml:space="preserve"> EPI</w:t>
      </w:r>
      <w:r w:rsidR="0035787E">
        <w:rPr>
          <w:rFonts w:ascii="Times New Roman" w:hAnsi="Times New Roman"/>
        </w:rPr>
        <w:t xml:space="preserve"> term</w:t>
      </w:r>
      <w:r w:rsidR="004B4180">
        <w:rPr>
          <w:rFonts w:ascii="Times New Roman" w:hAnsi="Times New Roman"/>
        </w:rPr>
        <w:t>, except for 3 students that attended level 4 classes.</w:t>
      </w:r>
      <w:r w:rsidR="004B4180" w:rsidRPr="004B4180">
        <w:rPr>
          <w:rFonts w:ascii="Times New Roman" w:hAnsi="Times New Roman"/>
        </w:rPr>
        <w:t xml:space="preserve"> </w:t>
      </w:r>
      <w:r w:rsidR="004B4180">
        <w:rPr>
          <w:rFonts w:ascii="Times New Roman" w:hAnsi="Times New Roman"/>
        </w:rPr>
        <w:t xml:space="preserve">In both level 5 and level 6 classes, the biggest proportion of students got a </w:t>
      </w:r>
      <w:r w:rsidR="00DB72F8">
        <w:rPr>
          <w:rFonts w:ascii="Times New Roman" w:hAnsi="Times New Roman"/>
        </w:rPr>
        <w:t>B</w:t>
      </w:r>
      <w:r w:rsidR="006D5EF7">
        <w:rPr>
          <w:rFonts w:ascii="Times New Roman" w:hAnsi="Times New Roman"/>
        </w:rPr>
        <w:t xml:space="preserve"> grade</w:t>
      </w:r>
      <w:r w:rsidR="004B4180">
        <w:rPr>
          <w:rFonts w:ascii="Times New Roman" w:hAnsi="Times New Roman"/>
        </w:rPr>
        <w:t>: 20 and 49 students from level 5 and level 6 classes respectively.</w:t>
      </w:r>
      <w:r w:rsidR="0035787E">
        <w:rPr>
          <w:rFonts w:ascii="Times New Roman" w:hAnsi="Times New Roman"/>
        </w:rPr>
        <w:t xml:space="preserve"> The next biggest group of the students got a </w:t>
      </w:r>
      <w:r w:rsidR="00DB72F8">
        <w:rPr>
          <w:rFonts w:ascii="Times New Roman" w:hAnsi="Times New Roman"/>
        </w:rPr>
        <w:t>D</w:t>
      </w:r>
      <w:r w:rsidR="0035787E">
        <w:rPr>
          <w:rFonts w:ascii="Times New Roman" w:hAnsi="Times New Roman"/>
        </w:rPr>
        <w:t xml:space="preserve"> or an </w:t>
      </w:r>
      <w:r w:rsidR="00DB72F8">
        <w:rPr>
          <w:rFonts w:ascii="Times New Roman" w:hAnsi="Times New Roman"/>
        </w:rPr>
        <w:t>F</w:t>
      </w:r>
      <w:r w:rsidR="0035787E">
        <w:rPr>
          <w:rFonts w:ascii="Times New Roman" w:hAnsi="Times New Roman"/>
        </w:rPr>
        <w:t xml:space="preserve"> from both of the class levels. </w:t>
      </w:r>
    </w:p>
    <w:p w14:paraId="064481CB" w14:textId="18A95046" w:rsidR="00224AE8" w:rsidRPr="00FA37B8" w:rsidRDefault="00224AE8" w:rsidP="002B0710">
      <w:pPr>
        <w:rPr>
          <w:rFonts w:ascii="Times New Roman" w:hAnsi="Times New Roman"/>
        </w:rPr>
      </w:pPr>
      <w:r>
        <w:rPr>
          <w:rFonts w:ascii="Times New Roman" w:hAnsi="Times New Roman"/>
        </w:rPr>
        <w:t>Table 4. Distribution of Former EPI Students</w:t>
      </w:r>
      <w:r w:rsidR="007C05E6">
        <w:rPr>
          <w:rFonts w:ascii="Times New Roman" w:hAnsi="Times New Roman"/>
        </w:rPr>
        <w:t xml:space="preserve">’ grades at GW level </w:t>
      </w:r>
      <w:r w:rsidR="005F7DFF">
        <w:rPr>
          <w:rFonts w:ascii="Times New Roman" w:hAnsi="Times New Roman"/>
        </w:rPr>
        <w:t xml:space="preserve">4, </w:t>
      </w:r>
      <w:r w:rsidR="007C05E6">
        <w:rPr>
          <w:rFonts w:ascii="Times New Roman" w:hAnsi="Times New Roman"/>
        </w:rPr>
        <w:t>5 and 6</w:t>
      </w:r>
    </w:p>
    <w:tbl>
      <w:tblPr>
        <w:tblStyle w:val="TableGrid"/>
        <w:tblW w:w="0" w:type="auto"/>
        <w:tblInd w:w="108" w:type="dxa"/>
        <w:tblLayout w:type="fixed"/>
        <w:tblLook w:val="04A0" w:firstRow="1" w:lastRow="0" w:firstColumn="1" w:lastColumn="0" w:noHBand="0" w:noVBand="1"/>
      </w:tblPr>
      <w:tblGrid>
        <w:gridCol w:w="1080"/>
        <w:gridCol w:w="1260"/>
        <w:gridCol w:w="990"/>
        <w:gridCol w:w="2160"/>
      </w:tblGrid>
      <w:tr w:rsidR="00C1114A" w:rsidRPr="00084D8A" w14:paraId="36595F45" w14:textId="5715D2F6" w:rsidTr="00C1114A">
        <w:trPr>
          <w:trHeight w:val="280"/>
        </w:trPr>
        <w:tc>
          <w:tcPr>
            <w:tcW w:w="1080" w:type="dxa"/>
          </w:tcPr>
          <w:p w14:paraId="3FC3476B" w14:textId="0901C71D" w:rsidR="00C1114A" w:rsidRPr="00224AE8" w:rsidRDefault="00C1114A">
            <w:pPr>
              <w:rPr>
                <w:rFonts w:ascii="Times New Roman" w:hAnsi="Times New Roman"/>
              </w:rPr>
            </w:pPr>
            <w:r>
              <w:rPr>
                <w:rFonts w:ascii="Times New Roman" w:hAnsi="Times New Roman"/>
              </w:rPr>
              <w:t>Levels</w:t>
            </w:r>
          </w:p>
        </w:tc>
        <w:tc>
          <w:tcPr>
            <w:tcW w:w="1260" w:type="dxa"/>
          </w:tcPr>
          <w:p w14:paraId="6550AD77" w14:textId="5EE845AC" w:rsidR="00C1114A" w:rsidRPr="00224AE8" w:rsidRDefault="00C1114A">
            <w:pPr>
              <w:rPr>
                <w:rFonts w:ascii="Times New Roman" w:hAnsi="Times New Roman"/>
              </w:rPr>
            </w:pPr>
            <w:r>
              <w:rPr>
                <w:rFonts w:ascii="Times New Roman" w:hAnsi="Times New Roman"/>
              </w:rPr>
              <w:t>Grades</w:t>
            </w:r>
          </w:p>
        </w:tc>
        <w:tc>
          <w:tcPr>
            <w:tcW w:w="990" w:type="dxa"/>
          </w:tcPr>
          <w:p w14:paraId="017E7813" w14:textId="3D683FBD" w:rsidR="00C1114A" w:rsidRPr="00224AE8" w:rsidRDefault="00C1114A">
            <w:pPr>
              <w:rPr>
                <w:rFonts w:ascii="Times New Roman" w:hAnsi="Times New Roman"/>
              </w:rPr>
            </w:pPr>
            <w:r>
              <w:rPr>
                <w:rFonts w:ascii="Times New Roman" w:hAnsi="Times New Roman"/>
              </w:rPr>
              <w:t>Groups</w:t>
            </w:r>
          </w:p>
        </w:tc>
        <w:tc>
          <w:tcPr>
            <w:tcW w:w="2160" w:type="dxa"/>
          </w:tcPr>
          <w:p w14:paraId="7B4B18BB" w14:textId="24F33EB5" w:rsidR="00C1114A" w:rsidRDefault="00C1114A">
            <w:pPr>
              <w:rPr>
                <w:rFonts w:ascii="Times New Roman" w:hAnsi="Times New Roman"/>
              </w:rPr>
            </w:pPr>
            <w:r>
              <w:rPr>
                <w:rFonts w:ascii="Times New Roman" w:hAnsi="Times New Roman"/>
              </w:rPr>
              <w:t>Number of Students</w:t>
            </w:r>
          </w:p>
        </w:tc>
      </w:tr>
      <w:tr w:rsidR="00C1114A" w:rsidRPr="00084D8A" w14:paraId="239F1293" w14:textId="77777777" w:rsidTr="00C1114A">
        <w:trPr>
          <w:trHeight w:val="280"/>
        </w:trPr>
        <w:tc>
          <w:tcPr>
            <w:tcW w:w="1080" w:type="dxa"/>
          </w:tcPr>
          <w:p w14:paraId="728B5550" w14:textId="24404D0C" w:rsidR="00C1114A" w:rsidRPr="00224AE8" w:rsidRDefault="00C1114A" w:rsidP="00C0322D">
            <w:pPr>
              <w:jc w:val="center"/>
              <w:rPr>
                <w:rFonts w:ascii="Times New Roman" w:hAnsi="Times New Roman"/>
              </w:rPr>
            </w:pPr>
            <w:r>
              <w:rPr>
                <w:rFonts w:ascii="Times New Roman" w:hAnsi="Times New Roman"/>
              </w:rPr>
              <w:t>4</w:t>
            </w:r>
          </w:p>
        </w:tc>
        <w:tc>
          <w:tcPr>
            <w:tcW w:w="1260" w:type="dxa"/>
          </w:tcPr>
          <w:p w14:paraId="37F42A84" w14:textId="25BF6EBC" w:rsidR="00C1114A" w:rsidRPr="00224AE8" w:rsidRDefault="00DB72F8" w:rsidP="00C0322D">
            <w:pPr>
              <w:jc w:val="center"/>
              <w:rPr>
                <w:rFonts w:ascii="Times New Roman" w:hAnsi="Times New Roman"/>
              </w:rPr>
            </w:pPr>
            <w:r>
              <w:rPr>
                <w:rFonts w:ascii="Times New Roman" w:hAnsi="Times New Roman"/>
              </w:rPr>
              <w:t>A-F</w:t>
            </w:r>
          </w:p>
        </w:tc>
        <w:tc>
          <w:tcPr>
            <w:tcW w:w="990" w:type="dxa"/>
          </w:tcPr>
          <w:p w14:paraId="53253B20" w14:textId="16EA6C34" w:rsidR="00C1114A" w:rsidRPr="00224AE8" w:rsidRDefault="00C1114A" w:rsidP="00C0322D">
            <w:pPr>
              <w:jc w:val="center"/>
              <w:rPr>
                <w:rFonts w:ascii="Times New Roman" w:hAnsi="Times New Roman"/>
              </w:rPr>
            </w:pPr>
            <w:r w:rsidRPr="00224AE8">
              <w:rPr>
                <w:rFonts w:ascii="Times New Roman" w:hAnsi="Times New Roman"/>
              </w:rPr>
              <w:t>4</w:t>
            </w:r>
          </w:p>
        </w:tc>
        <w:tc>
          <w:tcPr>
            <w:tcW w:w="2160" w:type="dxa"/>
          </w:tcPr>
          <w:p w14:paraId="35858228" w14:textId="467AF1F3" w:rsidR="00C1114A" w:rsidRPr="00224AE8" w:rsidRDefault="00C1114A" w:rsidP="00C0322D">
            <w:pPr>
              <w:jc w:val="center"/>
              <w:rPr>
                <w:rFonts w:ascii="Times New Roman" w:hAnsi="Times New Roman"/>
              </w:rPr>
            </w:pPr>
            <w:r w:rsidRPr="00224AE8">
              <w:rPr>
                <w:rFonts w:ascii="Times New Roman" w:hAnsi="Times New Roman"/>
              </w:rPr>
              <w:t>3</w:t>
            </w:r>
          </w:p>
        </w:tc>
      </w:tr>
      <w:tr w:rsidR="00C1114A" w:rsidRPr="00084D8A" w14:paraId="4938203B" w14:textId="77777777" w:rsidTr="00C1114A">
        <w:trPr>
          <w:trHeight w:val="280"/>
        </w:trPr>
        <w:tc>
          <w:tcPr>
            <w:tcW w:w="1080" w:type="dxa"/>
            <w:vMerge w:val="restart"/>
          </w:tcPr>
          <w:p w14:paraId="1F509CF1" w14:textId="77777777" w:rsidR="00C1114A" w:rsidRPr="00224AE8" w:rsidRDefault="00C1114A" w:rsidP="00C0322D">
            <w:pPr>
              <w:jc w:val="center"/>
              <w:rPr>
                <w:rFonts w:ascii="Times New Roman" w:hAnsi="Times New Roman"/>
              </w:rPr>
            </w:pPr>
            <w:r>
              <w:rPr>
                <w:rFonts w:ascii="Times New Roman" w:hAnsi="Times New Roman"/>
              </w:rPr>
              <w:t>5</w:t>
            </w:r>
          </w:p>
          <w:p w14:paraId="5F6CD935" w14:textId="5053F55A" w:rsidR="00C1114A" w:rsidRPr="00224AE8" w:rsidRDefault="00C1114A" w:rsidP="00C0322D">
            <w:pPr>
              <w:jc w:val="center"/>
              <w:rPr>
                <w:rFonts w:ascii="Times New Roman" w:hAnsi="Times New Roman"/>
              </w:rPr>
            </w:pPr>
          </w:p>
        </w:tc>
        <w:tc>
          <w:tcPr>
            <w:tcW w:w="1260" w:type="dxa"/>
          </w:tcPr>
          <w:p w14:paraId="524A1AF5" w14:textId="18F3614E" w:rsidR="00C1114A" w:rsidRPr="00224AE8" w:rsidRDefault="00DB72F8" w:rsidP="00C0322D">
            <w:pPr>
              <w:jc w:val="center"/>
              <w:rPr>
                <w:rFonts w:ascii="Times New Roman" w:hAnsi="Times New Roman"/>
              </w:rPr>
            </w:pPr>
            <w:r>
              <w:rPr>
                <w:rFonts w:ascii="Times New Roman" w:hAnsi="Times New Roman"/>
              </w:rPr>
              <w:t>A</w:t>
            </w:r>
          </w:p>
        </w:tc>
        <w:tc>
          <w:tcPr>
            <w:tcW w:w="990" w:type="dxa"/>
          </w:tcPr>
          <w:p w14:paraId="57FB3479" w14:textId="61E75896" w:rsidR="00C1114A" w:rsidRPr="00224AE8" w:rsidRDefault="00C1114A" w:rsidP="00C0322D">
            <w:pPr>
              <w:jc w:val="center"/>
              <w:rPr>
                <w:rFonts w:ascii="Times New Roman" w:hAnsi="Times New Roman"/>
              </w:rPr>
            </w:pPr>
            <w:r w:rsidRPr="00224AE8">
              <w:rPr>
                <w:rFonts w:ascii="Times New Roman" w:hAnsi="Times New Roman"/>
              </w:rPr>
              <w:t>5a</w:t>
            </w:r>
          </w:p>
        </w:tc>
        <w:tc>
          <w:tcPr>
            <w:tcW w:w="2160" w:type="dxa"/>
          </w:tcPr>
          <w:p w14:paraId="5074C7D5" w14:textId="75A0C679" w:rsidR="00C1114A" w:rsidRPr="00224AE8" w:rsidRDefault="00C1114A" w:rsidP="00C0322D">
            <w:pPr>
              <w:jc w:val="center"/>
              <w:rPr>
                <w:rFonts w:ascii="Times New Roman" w:hAnsi="Times New Roman"/>
              </w:rPr>
            </w:pPr>
            <w:r w:rsidRPr="00224AE8">
              <w:rPr>
                <w:rFonts w:ascii="Times New Roman" w:hAnsi="Times New Roman"/>
              </w:rPr>
              <w:t>5</w:t>
            </w:r>
          </w:p>
        </w:tc>
      </w:tr>
      <w:tr w:rsidR="00C1114A" w:rsidRPr="00084D8A" w14:paraId="569AB01C" w14:textId="77777777" w:rsidTr="00C1114A">
        <w:trPr>
          <w:trHeight w:val="280"/>
        </w:trPr>
        <w:tc>
          <w:tcPr>
            <w:tcW w:w="1080" w:type="dxa"/>
            <w:vMerge/>
          </w:tcPr>
          <w:p w14:paraId="389F1C8E" w14:textId="70EBC0CE" w:rsidR="00C1114A" w:rsidRPr="00224AE8" w:rsidRDefault="00C1114A" w:rsidP="00C0322D">
            <w:pPr>
              <w:jc w:val="center"/>
              <w:rPr>
                <w:rFonts w:ascii="Times New Roman" w:hAnsi="Times New Roman"/>
              </w:rPr>
            </w:pPr>
          </w:p>
        </w:tc>
        <w:tc>
          <w:tcPr>
            <w:tcW w:w="1260" w:type="dxa"/>
          </w:tcPr>
          <w:p w14:paraId="0EEEEA25" w14:textId="36D59894" w:rsidR="00C1114A" w:rsidRPr="00224AE8" w:rsidRDefault="00DB72F8" w:rsidP="00C0322D">
            <w:pPr>
              <w:jc w:val="center"/>
              <w:rPr>
                <w:rFonts w:ascii="Times New Roman" w:hAnsi="Times New Roman"/>
              </w:rPr>
            </w:pPr>
            <w:r>
              <w:rPr>
                <w:rFonts w:ascii="Times New Roman" w:hAnsi="Times New Roman"/>
              </w:rPr>
              <w:t>B</w:t>
            </w:r>
          </w:p>
        </w:tc>
        <w:tc>
          <w:tcPr>
            <w:tcW w:w="990" w:type="dxa"/>
          </w:tcPr>
          <w:p w14:paraId="63F26AEB" w14:textId="033E5F71" w:rsidR="00C1114A" w:rsidRPr="00224AE8" w:rsidRDefault="00C1114A" w:rsidP="00C0322D">
            <w:pPr>
              <w:jc w:val="center"/>
              <w:rPr>
                <w:rFonts w:ascii="Times New Roman" w:hAnsi="Times New Roman"/>
              </w:rPr>
            </w:pPr>
            <w:r w:rsidRPr="00224AE8">
              <w:rPr>
                <w:rFonts w:ascii="Times New Roman" w:hAnsi="Times New Roman"/>
              </w:rPr>
              <w:t>5b</w:t>
            </w:r>
          </w:p>
        </w:tc>
        <w:tc>
          <w:tcPr>
            <w:tcW w:w="2160" w:type="dxa"/>
          </w:tcPr>
          <w:p w14:paraId="7B1DE6EB" w14:textId="33EB0FF0" w:rsidR="00C1114A" w:rsidRPr="00224AE8" w:rsidRDefault="00C1114A" w:rsidP="00C0322D">
            <w:pPr>
              <w:jc w:val="center"/>
              <w:rPr>
                <w:rFonts w:ascii="Times New Roman" w:hAnsi="Times New Roman"/>
              </w:rPr>
            </w:pPr>
            <w:r w:rsidRPr="00224AE8">
              <w:rPr>
                <w:rFonts w:ascii="Times New Roman" w:hAnsi="Times New Roman"/>
              </w:rPr>
              <w:t>20</w:t>
            </w:r>
          </w:p>
        </w:tc>
      </w:tr>
      <w:tr w:rsidR="00C1114A" w:rsidRPr="00084D8A" w14:paraId="41D8B97C" w14:textId="77777777" w:rsidTr="00C1114A">
        <w:trPr>
          <w:trHeight w:val="280"/>
        </w:trPr>
        <w:tc>
          <w:tcPr>
            <w:tcW w:w="1080" w:type="dxa"/>
            <w:vMerge/>
          </w:tcPr>
          <w:p w14:paraId="551C81A2" w14:textId="3248C5E4" w:rsidR="00C1114A" w:rsidRPr="00224AE8" w:rsidRDefault="00C1114A" w:rsidP="00C0322D">
            <w:pPr>
              <w:jc w:val="center"/>
              <w:rPr>
                <w:rFonts w:ascii="Times New Roman" w:hAnsi="Times New Roman"/>
              </w:rPr>
            </w:pPr>
          </w:p>
        </w:tc>
        <w:tc>
          <w:tcPr>
            <w:tcW w:w="1260" w:type="dxa"/>
          </w:tcPr>
          <w:p w14:paraId="5850C98F" w14:textId="518626F6" w:rsidR="00C1114A" w:rsidRPr="00224AE8" w:rsidRDefault="00DB72F8" w:rsidP="00C0322D">
            <w:pPr>
              <w:jc w:val="center"/>
              <w:rPr>
                <w:rFonts w:ascii="Times New Roman" w:hAnsi="Times New Roman"/>
              </w:rPr>
            </w:pPr>
            <w:r>
              <w:rPr>
                <w:rFonts w:ascii="Times New Roman" w:hAnsi="Times New Roman"/>
              </w:rPr>
              <w:t>C</w:t>
            </w:r>
          </w:p>
        </w:tc>
        <w:tc>
          <w:tcPr>
            <w:tcW w:w="990" w:type="dxa"/>
          </w:tcPr>
          <w:p w14:paraId="281AF419" w14:textId="0AE02994" w:rsidR="00C1114A" w:rsidRPr="00224AE8" w:rsidRDefault="00C1114A" w:rsidP="00C0322D">
            <w:pPr>
              <w:jc w:val="center"/>
              <w:rPr>
                <w:rFonts w:ascii="Times New Roman" w:hAnsi="Times New Roman"/>
              </w:rPr>
            </w:pPr>
            <w:r w:rsidRPr="00224AE8">
              <w:rPr>
                <w:rFonts w:ascii="Times New Roman" w:hAnsi="Times New Roman"/>
              </w:rPr>
              <w:t>5c</w:t>
            </w:r>
          </w:p>
        </w:tc>
        <w:tc>
          <w:tcPr>
            <w:tcW w:w="2160" w:type="dxa"/>
          </w:tcPr>
          <w:p w14:paraId="799A1B6C" w14:textId="5BCF26F4" w:rsidR="00C1114A" w:rsidRPr="00224AE8" w:rsidRDefault="00C1114A" w:rsidP="00C0322D">
            <w:pPr>
              <w:jc w:val="center"/>
              <w:rPr>
                <w:rFonts w:ascii="Times New Roman" w:hAnsi="Times New Roman"/>
              </w:rPr>
            </w:pPr>
            <w:r w:rsidRPr="00224AE8">
              <w:rPr>
                <w:rFonts w:ascii="Times New Roman" w:hAnsi="Times New Roman"/>
              </w:rPr>
              <w:t>5</w:t>
            </w:r>
          </w:p>
        </w:tc>
      </w:tr>
      <w:tr w:rsidR="00C1114A" w:rsidRPr="00084D8A" w14:paraId="0056CA31" w14:textId="77777777" w:rsidTr="00C1114A">
        <w:trPr>
          <w:trHeight w:val="280"/>
        </w:trPr>
        <w:tc>
          <w:tcPr>
            <w:tcW w:w="1080" w:type="dxa"/>
            <w:vMerge/>
          </w:tcPr>
          <w:p w14:paraId="1C0D126B" w14:textId="442C2368" w:rsidR="00C1114A" w:rsidRPr="00224AE8" w:rsidRDefault="00C1114A" w:rsidP="00C0322D">
            <w:pPr>
              <w:jc w:val="center"/>
              <w:rPr>
                <w:rFonts w:ascii="Times New Roman" w:hAnsi="Times New Roman"/>
              </w:rPr>
            </w:pPr>
          </w:p>
        </w:tc>
        <w:tc>
          <w:tcPr>
            <w:tcW w:w="1260" w:type="dxa"/>
          </w:tcPr>
          <w:p w14:paraId="02689720" w14:textId="4592FE33" w:rsidR="00C1114A" w:rsidRPr="00224AE8" w:rsidRDefault="00DB72F8" w:rsidP="00C0322D">
            <w:pPr>
              <w:jc w:val="center"/>
              <w:rPr>
                <w:rFonts w:ascii="Times New Roman" w:hAnsi="Times New Roman"/>
              </w:rPr>
            </w:pPr>
            <w:r>
              <w:rPr>
                <w:rFonts w:ascii="Times New Roman" w:hAnsi="Times New Roman"/>
              </w:rPr>
              <w:t>D-F</w:t>
            </w:r>
          </w:p>
        </w:tc>
        <w:tc>
          <w:tcPr>
            <w:tcW w:w="990" w:type="dxa"/>
          </w:tcPr>
          <w:p w14:paraId="539C97DB" w14:textId="3C8D3DB8" w:rsidR="00C1114A" w:rsidRPr="00224AE8" w:rsidRDefault="00C1114A" w:rsidP="00C0322D">
            <w:pPr>
              <w:jc w:val="center"/>
              <w:rPr>
                <w:rFonts w:ascii="Times New Roman" w:hAnsi="Times New Roman"/>
              </w:rPr>
            </w:pPr>
            <w:r>
              <w:rPr>
                <w:rFonts w:ascii="Times New Roman" w:hAnsi="Times New Roman"/>
              </w:rPr>
              <w:t>5d</w:t>
            </w:r>
          </w:p>
        </w:tc>
        <w:tc>
          <w:tcPr>
            <w:tcW w:w="2160" w:type="dxa"/>
          </w:tcPr>
          <w:p w14:paraId="2C8C1870" w14:textId="35164465" w:rsidR="00C1114A" w:rsidRPr="00224AE8" w:rsidRDefault="00C1114A" w:rsidP="00C0322D">
            <w:pPr>
              <w:jc w:val="center"/>
              <w:rPr>
                <w:rFonts w:ascii="Times New Roman" w:hAnsi="Times New Roman"/>
              </w:rPr>
            </w:pPr>
            <w:r w:rsidRPr="00224AE8">
              <w:rPr>
                <w:rFonts w:ascii="Times New Roman" w:hAnsi="Times New Roman"/>
              </w:rPr>
              <w:t>7</w:t>
            </w:r>
          </w:p>
        </w:tc>
      </w:tr>
      <w:tr w:rsidR="00C1114A" w:rsidRPr="00084D8A" w14:paraId="7766EB6D" w14:textId="77777777" w:rsidTr="00C1114A">
        <w:trPr>
          <w:trHeight w:val="280"/>
        </w:trPr>
        <w:tc>
          <w:tcPr>
            <w:tcW w:w="1080" w:type="dxa"/>
            <w:vMerge w:val="restart"/>
          </w:tcPr>
          <w:p w14:paraId="54D1410D" w14:textId="76BED42B" w:rsidR="00C1114A" w:rsidRPr="00224AE8" w:rsidRDefault="00C1114A" w:rsidP="00C0322D">
            <w:pPr>
              <w:jc w:val="center"/>
              <w:rPr>
                <w:rFonts w:ascii="Times New Roman" w:hAnsi="Times New Roman"/>
              </w:rPr>
            </w:pPr>
            <w:r>
              <w:rPr>
                <w:rFonts w:ascii="Times New Roman" w:hAnsi="Times New Roman"/>
              </w:rPr>
              <w:t>6</w:t>
            </w:r>
          </w:p>
        </w:tc>
        <w:tc>
          <w:tcPr>
            <w:tcW w:w="1260" w:type="dxa"/>
          </w:tcPr>
          <w:p w14:paraId="4CA33758" w14:textId="23D9DFB4" w:rsidR="00C1114A" w:rsidRPr="00224AE8" w:rsidRDefault="00DB72F8" w:rsidP="00C0322D">
            <w:pPr>
              <w:jc w:val="center"/>
              <w:rPr>
                <w:rFonts w:ascii="Times New Roman" w:hAnsi="Times New Roman"/>
              </w:rPr>
            </w:pPr>
            <w:r>
              <w:rPr>
                <w:rFonts w:ascii="Times New Roman" w:hAnsi="Times New Roman"/>
              </w:rPr>
              <w:t>A</w:t>
            </w:r>
          </w:p>
        </w:tc>
        <w:tc>
          <w:tcPr>
            <w:tcW w:w="990" w:type="dxa"/>
          </w:tcPr>
          <w:p w14:paraId="3014DF9A" w14:textId="411A1BF6" w:rsidR="00C1114A" w:rsidRPr="00224AE8" w:rsidRDefault="00C1114A" w:rsidP="00C0322D">
            <w:pPr>
              <w:jc w:val="center"/>
              <w:rPr>
                <w:rFonts w:ascii="Times New Roman" w:hAnsi="Times New Roman"/>
              </w:rPr>
            </w:pPr>
            <w:r w:rsidRPr="00224AE8">
              <w:rPr>
                <w:rFonts w:ascii="Times New Roman" w:hAnsi="Times New Roman"/>
              </w:rPr>
              <w:t>6a</w:t>
            </w:r>
          </w:p>
        </w:tc>
        <w:tc>
          <w:tcPr>
            <w:tcW w:w="2160" w:type="dxa"/>
          </w:tcPr>
          <w:p w14:paraId="2632920F" w14:textId="324AA3CB" w:rsidR="00C1114A" w:rsidRPr="00224AE8" w:rsidRDefault="00C1114A" w:rsidP="00C0322D">
            <w:pPr>
              <w:jc w:val="center"/>
              <w:rPr>
                <w:rFonts w:ascii="Times New Roman" w:hAnsi="Times New Roman"/>
              </w:rPr>
            </w:pPr>
            <w:r w:rsidRPr="00224AE8">
              <w:rPr>
                <w:rFonts w:ascii="Times New Roman" w:hAnsi="Times New Roman"/>
              </w:rPr>
              <w:t>11</w:t>
            </w:r>
          </w:p>
        </w:tc>
      </w:tr>
      <w:tr w:rsidR="00C1114A" w:rsidRPr="00084D8A" w14:paraId="3CAC9EC4" w14:textId="77777777" w:rsidTr="00C1114A">
        <w:trPr>
          <w:trHeight w:val="280"/>
        </w:trPr>
        <w:tc>
          <w:tcPr>
            <w:tcW w:w="1080" w:type="dxa"/>
            <w:vMerge/>
          </w:tcPr>
          <w:p w14:paraId="3971E430" w14:textId="77777777" w:rsidR="00C1114A" w:rsidRPr="00224AE8" w:rsidRDefault="00C1114A" w:rsidP="00C0322D">
            <w:pPr>
              <w:jc w:val="center"/>
              <w:rPr>
                <w:rFonts w:ascii="Times New Roman" w:hAnsi="Times New Roman"/>
              </w:rPr>
            </w:pPr>
          </w:p>
        </w:tc>
        <w:tc>
          <w:tcPr>
            <w:tcW w:w="1260" w:type="dxa"/>
          </w:tcPr>
          <w:p w14:paraId="080B16A2" w14:textId="3E091B5B" w:rsidR="00C1114A" w:rsidRPr="00224AE8" w:rsidRDefault="00DB72F8" w:rsidP="00C0322D">
            <w:pPr>
              <w:jc w:val="center"/>
              <w:rPr>
                <w:rFonts w:ascii="Times New Roman" w:hAnsi="Times New Roman"/>
              </w:rPr>
            </w:pPr>
            <w:r>
              <w:rPr>
                <w:rFonts w:ascii="Times New Roman" w:hAnsi="Times New Roman"/>
              </w:rPr>
              <w:t>B</w:t>
            </w:r>
          </w:p>
        </w:tc>
        <w:tc>
          <w:tcPr>
            <w:tcW w:w="990" w:type="dxa"/>
          </w:tcPr>
          <w:p w14:paraId="556F2C12" w14:textId="21AF7679" w:rsidR="00C1114A" w:rsidRPr="00224AE8" w:rsidRDefault="00C1114A" w:rsidP="00C0322D">
            <w:pPr>
              <w:jc w:val="center"/>
              <w:rPr>
                <w:rFonts w:ascii="Times New Roman" w:hAnsi="Times New Roman"/>
              </w:rPr>
            </w:pPr>
            <w:r w:rsidRPr="00224AE8">
              <w:rPr>
                <w:rFonts w:ascii="Times New Roman" w:hAnsi="Times New Roman"/>
              </w:rPr>
              <w:t>6b</w:t>
            </w:r>
          </w:p>
        </w:tc>
        <w:tc>
          <w:tcPr>
            <w:tcW w:w="2160" w:type="dxa"/>
          </w:tcPr>
          <w:p w14:paraId="6CAF17BC" w14:textId="747A7910" w:rsidR="00C1114A" w:rsidRPr="00224AE8" w:rsidRDefault="00C1114A" w:rsidP="00C0322D">
            <w:pPr>
              <w:jc w:val="center"/>
              <w:rPr>
                <w:rFonts w:ascii="Times New Roman" w:hAnsi="Times New Roman"/>
              </w:rPr>
            </w:pPr>
            <w:r w:rsidRPr="00224AE8">
              <w:rPr>
                <w:rFonts w:ascii="Times New Roman" w:hAnsi="Times New Roman"/>
              </w:rPr>
              <w:t>49</w:t>
            </w:r>
          </w:p>
        </w:tc>
      </w:tr>
      <w:tr w:rsidR="00C1114A" w:rsidRPr="00084D8A" w14:paraId="74DC22CA" w14:textId="77777777" w:rsidTr="00C1114A">
        <w:trPr>
          <w:trHeight w:val="280"/>
        </w:trPr>
        <w:tc>
          <w:tcPr>
            <w:tcW w:w="1080" w:type="dxa"/>
            <w:vMerge/>
          </w:tcPr>
          <w:p w14:paraId="356887FC" w14:textId="77777777" w:rsidR="00C1114A" w:rsidRPr="00224AE8" w:rsidRDefault="00C1114A" w:rsidP="00C0322D">
            <w:pPr>
              <w:jc w:val="center"/>
              <w:rPr>
                <w:rFonts w:ascii="Times New Roman" w:hAnsi="Times New Roman"/>
              </w:rPr>
            </w:pPr>
          </w:p>
        </w:tc>
        <w:tc>
          <w:tcPr>
            <w:tcW w:w="1260" w:type="dxa"/>
          </w:tcPr>
          <w:p w14:paraId="6114A37A" w14:textId="71CAB093" w:rsidR="00C1114A" w:rsidRPr="00224AE8" w:rsidRDefault="00DB72F8" w:rsidP="00C0322D">
            <w:pPr>
              <w:jc w:val="center"/>
              <w:rPr>
                <w:rFonts w:ascii="Times New Roman" w:hAnsi="Times New Roman"/>
              </w:rPr>
            </w:pPr>
            <w:r>
              <w:rPr>
                <w:rFonts w:ascii="Times New Roman" w:hAnsi="Times New Roman"/>
              </w:rPr>
              <w:t>C</w:t>
            </w:r>
          </w:p>
        </w:tc>
        <w:tc>
          <w:tcPr>
            <w:tcW w:w="990" w:type="dxa"/>
          </w:tcPr>
          <w:p w14:paraId="3CD865AF" w14:textId="6360CC15" w:rsidR="00C1114A" w:rsidRPr="00224AE8" w:rsidRDefault="00C1114A" w:rsidP="00C0322D">
            <w:pPr>
              <w:jc w:val="center"/>
              <w:rPr>
                <w:rFonts w:ascii="Times New Roman" w:hAnsi="Times New Roman"/>
              </w:rPr>
            </w:pPr>
            <w:r w:rsidRPr="00224AE8">
              <w:rPr>
                <w:rFonts w:ascii="Times New Roman" w:hAnsi="Times New Roman"/>
              </w:rPr>
              <w:t>6c</w:t>
            </w:r>
          </w:p>
        </w:tc>
        <w:tc>
          <w:tcPr>
            <w:tcW w:w="2160" w:type="dxa"/>
          </w:tcPr>
          <w:p w14:paraId="58840613" w14:textId="19833E3F" w:rsidR="00C1114A" w:rsidRPr="00224AE8" w:rsidRDefault="00C1114A" w:rsidP="00C0322D">
            <w:pPr>
              <w:jc w:val="center"/>
              <w:rPr>
                <w:rFonts w:ascii="Times New Roman" w:hAnsi="Times New Roman"/>
              </w:rPr>
            </w:pPr>
            <w:r w:rsidRPr="00224AE8">
              <w:rPr>
                <w:rFonts w:ascii="Times New Roman" w:hAnsi="Times New Roman"/>
              </w:rPr>
              <w:t>18</w:t>
            </w:r>
          </w:p>
        </w:tc>
      </w:tr>
      <w:tr w:rsidR="00C1114A" w:rsidRPr="00084D8A" w14:paraId="5D162EBC" w14:textId="77777777" w:rsidTr="00C1114A">
        <w:trPr>
          <w:trHeight w:val="280"/>
        </w:trPr>
        <w:tc>
          <w:tcPr>
            <w:tcW w:w="1080" w:type="dxa"/>
            <w:vMerge/>
          </w:tcPr>
          <w:p w14:paraId="52D777A7" w14:textId="77777777" w:rsidR="00C1114A" w:rsidRPr="00224AE8" w:rsidRDefault="00C1114A" w:rsidP="00C0322D">
            <w:pPr>
              <w:jc w:val="center"/>
              <w:rPr>
                <w:rFonts w:ascii="Times New Roman" w:hAnsi="Times New Roman"/>
              </w:rPr>
            </w:pPr>
          </w:p>
        </w:tc>
        <w:tc>
          <w:tcPr>
            <w:tcW w:w="1260" w:type="dxa"/>
          </w:tcPr>
          <w:p w14:paraId="27C84242" w14:textId="732767A5" w:rsidR="00C1114A" w:rsidRPr="00224AE8" w:rsidRDefault="00DB72F8" w:rsidP="00C0322D">
            <w:pPr>
              <w:jc w:val="center"/>
              <w:rPr>
                <w:rFonts w:ascii="Times New Roman" w:hAnsi="Times New Roman"/>
              </w:rPr>
            </w:pPr>
            <w:r>
              <w:rPr>
                <w:rFonts w:ascii="Times New Roman" w:hAnsi="Times New Roman"/>
              </w:rPr>
              <w:t>D-F</w:t>
            </w:r>
          </w:p>
        </w:tc>
        <w:tc>
          <w:tcPr>
            <w:tcW w:w="990" w:type="dxa"/>
          </w:tcPr>
          <w:p w14:paraId="26EF7B52" w14:textId="4DE36236" w:rsidR="00C1114A" w:rsidRPr="00224AE8" w:rsidRDefault="00C1114A" w:rsidP="00C0322D">
            <w:pPr>
              <w:jc w:val="center"/>
              <w:rPr>
                <w:rFonts w:ascii="Times New Roman" w:hAnsi="Times New Roman"/>
              </w:rPr>
            </w:pPr>
            <w:r>
              <w:rPr>
                <w:rFonts w:ascii="Times New Roman" w:hAnsi="Times New Roman"/>
              </w:rPr>
              <w:t>6d</w:t>
            </w:r>
          </w:p>
        </w:tc>
        <w:tc>
          <w:tcPr>
            <w:tcW w:w="2160" w:type="dxa"/>
          </w:tcPr>
          <w:p w14:paraId="35A4D31A" w14:textId="5AF7ABDC" w:rsidR="00C1114A" w:rsidRPr="00224AE8" w:rsidRDefault="00C1114A" w:rsidP="00C0322D">
            <w:pPr>
              <w:jc w:val="center"/>
              <w:rPr>
                <w:rFonts w:ascii="Times New Roman" w:hAnsi="Times New Roman"/>
              </w:rPr>
            </w:pPr>
            <w:r w:rsidRPr="00224AE8">
              <w:rPr>
                <w:rFonts w:ascii="Times New Roman" w:hAnsi="Times New Roman"/>
              </w:rPr>
              <w:t>17</w:t>
            </w:r>
          </w:p>
        </w:tc>
      </w:tr>
      <w:tr w:rsidR="00C1114A" w:rsidRPr="00084D8A" w14:paraId="6804D325" w14:textId="77777777" w:rsidTr="00C1114A">
        <w:trPr>
          <w:trHeight w:val="280"/>
        </w:trPr>
        <w:tc>
          <w:tcPr>
            <w:tcW w:w="3330" w:type="dxa"/>
            <w:gridSpan w:val="3"/>
          </w:tcPr>
          <w:p w14:paraId="52A883A9" w14:textId="65678216" w:rsidR="00C1114A" w:rsidRPr="00224AE8" w:rsidRDefault="00C1114A" w:rsidP="00C0322D">
            <w:pPr>
              <w:jc w:val="center"/>
              <w:rPr>
                <w:rFonts w:ascii="Times New Roman" w:hAnsi="Times New Roman"/>
              </w:rPr>
            </w:pPr>
            <w:r>
              <w:rPr>
                <w:rFonts w:ascii="Times New Roman" w:hAnsi="Times New Roman"/>
              </w:rPr>
              <w:t>Total</w:t>
            </w:r>
          </w:p>
        </w:tc>
        <w:tc>
          <w:tcPr>
            <w:tcW w:w="2160" w:type="dxa"/>
          </w:tcPr>
          <w:p w14:paraId="278CB222" w14:textId="6A8900DE" w:rsidR="00C1114A" w:rsidRPr="00224AE8" w:rsidRDefault="00C1114A" w:rsidP="00C0322D">
            <w:pPr>
              <w:jc w:val="center"/>
              <w:rPr>
                <w:rFonts w:ascii="Times New Roman" w:hAnsi="Times New Roman"/>
              </w:rPr>
            </w:pPr>
            <w:r w:rsidRPr="00224AE8">
              <w:rPr>
                <w:rFonts w:ascii="Times New Roman" w:hAnsi="Times New Roman"/>
              </w:rPr>
              <w:t>135</w:t>
            </w:r>
          </w:p>
        </w:tc>
      </w:tr>
    </w:tbl>
    <w:p w14:paraId="1D9FC892" w14:textId="2E8D5C80" w:rsidR="00084D8A" w:rsidRDefault="00C1114A" w:rsidP="00C97598">
      <w:pPr>
        <w:rPr>
          <w:rFonts w:ascii="Times New Roman" w:hAnsi="Times New Roman"/>
          <w:b/>
        </w:rPr>
      </w:pPr>
      <w:r>
        <w:rPr>
          <w:rFonts w:ascii="Times New Roman" w:hAnsi="Times New Roman"/>
        </w:rPr>
        <w:t xml:space="preserve">* </w:t>
      </w:r>
      <w:r w:rsidRPr="00224AE8">
        <w:rPr>
          <w:rFonts w:ascii="Times New Roman" w:hAnsi="Times New Roman"/>
        </w:rPr>
        <w:t>1</w:t>
      </w:r>
      <w:r>
        <w:rPr>
          <w:rFonts w:ascii="Times New Roman" w:hAnsi="Times New Roman"/>
        </w:rPr>
        <w:t xml:space="preserve"> of 136 students did not attend any GW class.</w:t>
      </w:r>
    </w:p>
    <w:p w14:paraId="15DE4DE7" w14:textId="32795596" w:rsidR="00084D8A" w:rsidRDefault="007E09A4" w:rsidP="00C97598">
      <w:pPr>
        <w:rPr>
          <w:rFonts w:ascii="Times New Roman" w:hAnsi="Times New Roman"/>
        </w:rPr>
      </w:pPr>
      <w:r>
        <w:rPr>
          <w:rFonts w:ascii="Times New Roman" w:hAnsi="Times New Roman"/>
        </w:rPr>
        <w:t>Figure 4</w:t>
      </w:r>
      <w:r w:rsidR="00224AE8">
        <w:rPr>
          <w:rFonts w:ascii="Times New Roman" w:hAnsi="Times New Roman"/>
        </w:rPr>
        <w:t xml:space="preserve">. </w:t>
      </w:r>
      <w:r w:rsidR="00C1114A">
        <w:rPr>
          <w:rFonts w:ascii="Times New Roman" w:hAnsi="Times New Roman"/>
        </w:rPr>
        <w:t xml:space="preserve">Distribution of Former EPI Students </w:t>
      </w:r>
      <w:r w:rsidR="005F7DFF">
        <w:rPr>
          <w:rFonts w:ascii="Times New Roman" w:hAnsi="Times New Roman"/>
        </w:rPr>
        <w:t>grades at GW level 4, 5 and 6</w:t>
      </w:r>
    </w:p>
    <w:p w14:paraId="63BEBEE0" w14:textId="33779441" w:rsidR="00C1114A" w:rsidRDefault="00C1114A" w:rsidP="00C97598">
      <w:pPr>
        <w:rPr>
          <w:rFonts w:ascii="Times New Roman" w:hAnsi="Times New Roman"/>
        </w:rPr>
      </w:pPr>
      <w:r>
        <w:rPr>
          <w:noProof/>
        </w:rPr>
        <w:drawing>
          <wp:inline distT="0" distB="0" distL="0" distR="0" wp14:anchorId="0D7F5ADB" wp14:editId="00CF2431">
            <wp:extent cx="3594735" cy="1602740"/>
            <wp:effectExtent l="0" t="0" r="37465" b="228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DBDDC4" w14:textId="77777777" w:rsidR="00565FBA" w:rsidRDefault="00565FBA" w:rsidP="0035787E">
      <w:pPr>
        <w:rPr>
          <w:rFonts w:ascii="Times New Roman" w:hAnsi="Times New Roman"/>
        </w:rPr>
      </w:pPr>
    </w:p>
    <w:p w14:paraId="24306BB1" w14:textId="0F71FBAE" w:rsidR="0035787E" w:rsidRDefault="00565FBA" w:rsidP="0035787E">
      <w:pPr>
        <w:rPr>
          <w:rFonts w:ascii="Times New Roman" w:hAnsi="Times New Roman"/>
        </w:rPr>
      </w:pPr>
      <w:r>
        <w:rPr>
          <w:rFonts w:ascii="Times New Roman" w:hAnsi="Times New Roman"/>
        </w:rPr>
        <w:t>2.1.2 S</w:t>
      </w:r>
      <w:r w:rsidR="00DB4EF4">
        <w:rPr>
          <w:rFonts w:ascii="Times New Roman" w:hAnsi="Times New Roman"/>
        </w:rPr>
        <w:t>tudents’</w:t>
      </w:r>
      <w:r w:rsidR="00002A79">
        <w:rPr>
          <w:rFonts w:ascii="Times New Roman" w:hAnsi="Times New Roman"/>
        </w:rPr>
        <w:t xml:space="preserve"> G</w:t>
      </w:r>
      <w:r w:rsidR="0035787E">
        <w:rPr>
          <w:rFonts w:ascii="Times New Roman" w:hAnsi="Times New Roman"/>
        </w:rPr>
        <w:t xml:space="preserve">W </w:t>
      </w:r>
      <w:r w:rsidR="00DB4EF4">
        <w:rPr>
          <w:rFonts w:ascii="Times New Roman" w:hAnsi="Times New Roman"/>
        </w:rPr>
        <w:t xml:space="preserve">grades </w:t>
      </w:r>
      <w:r>
        <w:rPr>
          <w:rFonts w:ascii="Times New Roman" w:hAnsi="Times New Roman"/>
        </w:rPr>
        <w:t xml:space="preserve">at level 5 </w:t>
      </w:r>
      <w:r w:rsidR="00DB4EF4">
        <w:rPr>
          <w:rFonts w:ascii="Times New Roman" w:hAnsi="Times New Roman"/>
        </w:rPr>
        <w:t>and academic achievement</w:t>
      </w:r>
      <w:r w:rsidR="0035787E">
        <w:rPr>
          <w:rFonts w:ascii="Times New Roman" w:hAnsi="Times New Roman"/>
        </w:rPr>
        <w:t xml:space="preserve"> at USC</w:t>
      </w:r>
    </w:p>
    <w:p w14:paraId="6F510573" w14:textId="62BE3333" w:rsidR="00C0322D" w:rsidRDefault="00036E08" w:rsidP="00C97598">
      <w:pPr>
        <w:rPr>
          <w:rFonts w:ascii="Times New Roman" w:hAnsi="Times New Roman" w:cs="Geneva"/>
          <w:color w:val="000000"/>
        </w:rPr>
      </w:pPr>
      <w:r w:rsidRPr="00BE1708">
        <w:rPr>
          <w:rFonts w:ascii="Times New Roman" w:hAnsi="Times New Roman" w:cs="Times New Roman"/>
          <w:color w:val="000000"/>
          <w:lang w:eastAsia="ko-KR"/>
        </w:rPr>
        <w:t>Because the number of students that attended Level 4 classes is very small, the focus of analyses is on</w:t>
      </w:r>
      <w:r>
        <w:rPr>
          <w:rFonts w:ascii="바탕" w:hAnsi="바탕" w:cs="바탕"/>
          <w:color w:val="000000"/>
          <w:lang w:eastAsia="ko-KR"/>
        </w:rPr>
        <w:t xml:space="preserve"> </w:t>
      </w:r>
      <w:r w:rsidR="00C0322D">
        <w:rPr>
          <w:rFonts w:ascii="Times New Roman" w:hAnsi="Times New Roman" w:cs="Geneva"/>
          <w:color w:val="000000"/>
        </w:rPr>
        <w:t xml:space="preserve">level 5 </w:t>
      </w:r>
      <w:r>
        <w:rPr>
          <w:rFonts w:ascii="Times New Roman" w:hAnsi="Times New Roman" w:cs="Geneva"/>
          <w:color w:val="000000"/>
        </w:rPr>
        <w:t xml:space="preserve">and level 6 </w:t>
      </w:r>
      <w:r w:rsidR="00C0322D">
        <w:rPr>
          <w:rFonts w:ascii="Times New Roman" w:hAnsi="Times New Roman" w:cs="Geneva"/>
          <w:color w:val="000000"/>
        </w:rPr>
        <w:t>students</w:t>
      </w:r>
      <w:r>
        <w:rPr>
          <w:rFonts w:ascii="Times New Roman" w:hAnsi="Times New Roman" w:cs="Geneva"/>
          <w:color w:val="000000"/>
        </w:rPr>
        <w:t xml:space="preserve">. The average GPA and the </w:t>
      </w:r>
      <w:r w:rsidR="008550BE">
        <w:rPr>
          <w:rFonts w:ascii="Times New Roman" w:hAnsi="Times New Roman" w:cs="Geneva"/>
          <w:color w:val="000000"/>
        </w:rPr>
        <w:t xml:space="preserve">average scores from English 101 and 102 courses </w:t>
      </w:r>
      <w:r w:rsidR="00881C4D">
        <w:rPr>
          <w:rFonts w:ascii="Times New Roman" w:hAnsi="Times New Roman" w:cs="Geneva"/>
          <w:color w:val="000000"/>
        </w:rPr>
        <w:t>for</w:t>
      </w:r>
      <w:r w:rsidR="008550BE">
        <w:rPr>
          <w:rFonts w:ascii="Times New Roman" w:hAnsi="Times New Roman" w:cs="Geneva"/>
          <w:color w:val="000000"/>
        </w:rPr>
        <w:t xml:space="preserve"> level 5 students are summarized in Table 5 and Figure 5. </w:t>
      </w:r>
    </w:p>
    <w:p w14:paraId="27AD90FC" w14:textId="4E4CFA34" w:rsidR="00C1114A" w:rsidRDefault="008550BE" w:rsidP="00C97598">
      <w:pPr>
        <w:rPr>
          <w:rFonts w:ascii="Times New Roman" w:hAnsi="Times New Roman"/>
        </w:rPr>
      </w:pPr>
      <w:r>
        <w:rPr>
          <w:rFonts w:ascii="Times New Roman" w:hAnsi="Times New Roman" w:cs="Geneva"/>
          <w:color w:val="000000"/>
        </w:rPr>
        <w:t>Overall, the grade levels from EPI patterns</w:t>
      </w:r>
      <w:r w:rsidR="006C5B08">
        <w:rPr>
          <w:rFonts w:ascii="Times New Roman" w:hAnsi="Times New Roman" w:cs="Geneva"/>
          <w:color w:val="000000"/>
        </w:rPr>
        <w:t xml:space="preserve"> with the levels of the GPA and the scores from the two English courses, e</w:t>
      </w:r>
      <w:r>
        <w:rPr>
          <w:rFonts w:ascii="Times New Roman" w:hAnsi="Times New Roman" w:cs="Geneva"/>
          <w:color w:val="000000"/>
        </w:rPr>
        <w:t>xcept for a few</w:t>
      </w:r>
      <w:r w:rsidR="006C5B08">
        <w:rPr>
          <w:rFonts w:ascii="Times New Roman" w:hAnsi="Times New Roman" w:cs="Geneva"/>
          <w:color w:val="000000"/>
        </w:rPr>
        <w:t xml:space="preserve"> cases: the GPAs </w:t>
      </w:r>
      <w:r w:rsidR="00D30052">
        <w:rPr>
          <w:rFonts w:ascii="Times New Roman" w:hAnsi="Times New Roman" w:cs="Geneva"/>
          <w:color w:val="000000"/>
        </w:rPr>
        <w:t>from both</w:t>
      </w:r>
      <w:r w:rsidR="006C5B08">
        <w:rPr>
          <w:rFonts w:ascii="Times New Roman" w:hAnsi="Times New Roman" w:cs="Geneva"/>
          <w:color w:val="000000"/>
        </w:rPr>
        <w:t xml:space="preserve"> the </w:t>
      </w:r>
      <w:r w:rsidR="00881C4D">
        <w:rPr>
          <w:rFonts w:ascii="Times New Roman" w:hAnsi="Times New Roman" w:cs="Geneva"/>
          <w:color w:val="000000"/>
        </w:rPr>
        <w:t>B</w:t>
      </w:r>
      <w:r w:rsidR="006C5B08">
        <w:rPr>
          <w:rFonts w:ascii="Times New Roman" w:hAnsi="Times New Roman" w:cs="Geneva"/>
          <w:color w:val="000000"/>
        </w:rPr>
        <w:t xml:space="preserve"> and </w:t>
      </w:r>
      <w:r w:rsidR="00881C4D">
        <w:rPr>
          <w:rFonts w:ascii="Times New Roman" w:hAnsi="Times New Roman" w:cs="Geneva"/>
          <w:color w:val="000000"/>
        </w:rPr>
        <w:t>C</w:t>
      </w:r>
      <w:r w:rsidR="006C5B08">
        <w:rPr>
          <w:rFonts w:ascii="Times New Roman" w:hAnsi="Times New Roman" w:cs="Geneva"/>
          <w:color w:val="000000"/>
        </w:rPr>
        <w:t xml:space="preserve"> students were almost the same and the average scores of </w:t>
      </w:r>
      <w:r w:rsidR="00881C4D">
        <w:rPr>
          <w:rFonts w:ascii="Times New Roman" w:hAnsi="Times New Roman" w:cs="Geneva"/>
          <w:color w:val="000000"/>
        </w:rPr>
        <w:t>D-F</w:t>
      </w:r>
      <w:r w:rsidR="006C5B08">
        <w:rPr>
          <w:rFonts w:ascii="Times New Roman" w:hAnsi="Times New Roman" w:cs="Geneva"/>
          <w:color w:val="000000"/>
        </w:rPr>
        <w:t xml:space="preserve"> students from the two English courses were greater than those from </w:t>
      </w:r>
      <w:r w:rsidR="00881C4D">
        <w:rPr>
          <w:rFonts w:ascii="Times New Roman" w:hAnsi="Times New Roman" w:cs="Geneva"/>
          <w:color w:val="000000"/>
        </w:rPr>
        <w:t>C</w:t>
      </w:r>
      <w:r w:rsidR="006C5B08">
        <w:rPr>
          <w:rFonts w:ascii="Times New Roman" w:hAnsi="Times New Roman" w:cs="Geneva"/>
          <w:color w:val="000000"/>
        </w:rPr>
        <w:t xml:space="preserve"> students</w:t>
      </w:r>
      <w:r w:rsidR="00D30052">
        <w:rPr>
          <w:rFonts w:ascii="Times New Roman" w:hAnsi="Times New Roman" w:cs="Geneva"/>
          <w:color w:val="000000"/>
        </w:rPr>
        <w:t>, which showed a reversed trend</w:t>
      </w:r>
      <w:r w:rsidR="006C5B08">
        <w:rPr>
          <w:rFonts w:ascii="Times New Roman" w:hAnsi="Times New Roman" w:cs="Geneva"/>
          <w:color w:val="000000"/>
        </w:rPr>
        <w:t>.</w:t>
      </w:r>
      <w:r w:rsidR="00D30052">
        <w:rPr>
          <w:rFonts w:ascii="Times New Roman" w:hAnsi="Times New Roman" w:cs="Geneva"/>
          <w:color w:val="000000"/>
        </w:rPr>
        <w:t xml:space="preserve"> The latter case seems to have occurred due to the fact that some students might have concentrated on preparing for TOEFL not doing their best for a good EPI grade but that they got back to their academic work </w:t>
      </w:r>
      <w:r w:rsidR="00DF4049">
        <w:rPr>
          <w:rFonts w:ascii="Times New Roman" w:hAnsi="Times New Roman" w:cs="Geneva"/>
          <w:color w:val="000000"/>
        </w:rPr>
        <w:t>when taking credit-bearing USC courses</w:t>
      </w:r>
      <w:r w:rsidR="00D30052">
        <w:rPr>
          <w:rFonts w:ascii="Times New Roman" w:hAnsi="Times New Roman" w:cs="Geneva"/>
          <w:color w:val="000000"/>
        </w:rPr>
        <w:t xml:space="preserve">. </w:t>
      </w:r>
    </w:p>
    <w:p w14:paraId="489FE5D1" w14:textId="77777777" w:rsidR="00C1114A" w:rsidRDefault="00C1114A" w:rsidP="00C97598">
      <w:pPr>
        <w:rPr>
          <w:rFonts w:ascii="Times New Roman" w:hAnsi="Times New Roman"/>
        </w:rPr>
      </w:pPr>
    </w:p>
    <w:p w14:paraId="4705F667" w14:textId="00688FDA" w:rsidR="008A2583" w:rsidRPr="00FA37B8" w:rsidRDefault="00C0322D" w:rsidP="008A2583">
      <w:pPr>
        <w:rPr>
          <w:rFonts w:ascii="Times New Roman" w:hAnsi="Times New Roman"/>
        </w:rPr>
      </w:pPr>
      <w:r>
        <w:rPr>
          <w:rFonts w:ascii="Times New Roman" w:hAnsi="Times New Roman"/>
        </w:rPr>
        <w:t xml:space="preserve">Table 5. Level 5 Students’ </w:t>
      </w:r>
      <w:r w:rsidR="006C5B08">
        <w:rPr>
          <w:rFonts w:ascii="Times New Roman" w:hAnsi="Times New Roman"/>
        </w:rPr>
        <w:t xml:space="preserve">GW Grades vs. Average </w:t>
      </w:r>
      <w:r>
        <w:rPr>
          <w:rFonts w:ascii="Times New Roman" w:hAnsi="Times New Roman"/>
        </w:rPr>
        <w:t>GPA</w:t>
      </w:r>
      <w:r w:rsidR="006C5B08">
        <w:rPr>
          <w:rFonts w:ascii="Times New Roman" w:hAnsi="Times New Roman"/>
        </w:rPr>
        <w:t>s and Scores from English 101 and 102</w:t>
      </w:r>
    </w:p>
    <w:tbl>
      <w:tblPr>
        <w:tblStyle w:val="TableGrid"/>
        <w:tblW w:w="0" w:type="auto"/>
        <w:tblInd w:w="108" w:type="dxa"/>
        <w:tblLayout w:type="fixed"/>
        <w:tblLook w:val="04A0" w:firstRow="1" w:lastRow="0" w:firstColumn="1" w:lastColumn="0" w:noHBand="0" w:noVBand="1"/>
      </w:tblPr>
      <w:tblGrid>
        <w:gridCol w:w="1980"/>
        <w:gridCol w:w="1260"/>
        <w:gridCol w:w="1440"/>
        <w:gridCol w:w="1530"/>
      </w:tblGrid>
      <w:tr w:rsidR="006C5B08" w:rsidRPr="008A2583" w14:paraId="6A101EA2" w14:textId="77777777" w:rsidTr="006C5B08">
        <w:trPr>
          <w:trHeight w:val="460"/>
        </w:trPr>
        <w:tc>
          <w:tcPr>
            <w:tcW w:w="1980" w:type="dxa"/>
            <w:noWrap/>
            <w:hideMark/>
          </w:tcPr>
          <w:p w14:paraId="6A952317" w14:textId="7DD636F4" w:rsidR="008A2583" w:rsidRPr="008A2583" w:rsidRDefault="006C5B08" w:rsidP="00C0322D">
            <w:pPr>
              <w:rPr>
                <w:rFonts w:ascii="Times New Roman" w:hAnsi="Times New Roman"/>
              </w:rPr>
            </w:pPr>
            <w:r>
              <w:rPr>
                <w:rFonts w:ascii="Times New Roman" w:hAnsi="Times New Roman"/>
              </w:rPr>
              <w:t xml:space="preserve">EPI GW </w:t>
            </w:r>
            <w:r w:rsidR="00C0322D">
              <w:rPr>
                <w:rFonts w:ascii="Times New Roman" w:hAnsi="Times New Roman"/>
              </w:rPr>
              <w:t>Grades</w:t>
            </w:r>
          </w:p>
        </w:tc>
        <w:tc>
          <w:tcPr>
            <w:tcW w:w="1260" w:type="dxa"/>
            <w:noWrap/>
            <w:hideMark/>
          </w:tcPr>
          <w:p w14:paraId="76701C11" w14:textId="4CF74173" w:rsidR="008A2583" w:rsidRPr="008A2583" w:rsidRDefault="00C0322D">
            <w:pPr>
              <w:rPr>
                <w:rFonts w:ascii="Times New Roman" w:hAnsi="Times New Roman"/>
              </w:rPr>
            </w:pPr>
            <w:r>
              <w:rPr>
                <w:rFonts w:ascii="Times New Roman" w:hAnsi="Times New Roman"/>
              </w:rPr>
              <w:t>GPA</w:t>
            </w:r>
          </w:p>
        </w:tc>
        <w:tc>
          <w:tcPr>
            <w:tcW w:w="1440" w:type="dxa"/>
            <w:noWrap/>
            <w:hideMark/>
          </w:tcPr>
          <w:p w14:paraId="45F1BBE6" w14:textId="28054761" w:rsidR="008A2583" w:rsidRPr="008A2583" w:rsidRDefault="00C0322D">
            <w:pPr>
              <w:rPr>
                <w:rFonts w:ascii="Times New Roman" w:hAnsi="Times New Roman"/>
              </w:rPr>
            </w:pPr>
            <w:r>
              <w:rPr>
                <w:rFonts w:ascii="Times New Roman" w:hAnsi="Times New Roman"/>
              </w:rPr>
              <w:t>E</w:t>
            </w:r>
            <w:r w:rsidR="008A2583" w:rsidRPr="008A2583">
              <w:rPr>
                <w:rFonts w:ascii="Times New Roman" w:hAnsi="Times New Roman"/>
              </w:rPr>
              <w:t>ng</w:t>
            </w:r>
            <w:r>
              <w:rPr>
                <w:rFonts w:ascii="Times New Roman" w:hAnsi="Times New Roman"/>
              </w:rPr>
              <w:t>lish</w:t>
            </w:r>
            <w:r w:rsidR="008A2583" w:rsidRPr="008A2583">
              <w:rPr>
                <w:rFonts w:ascii="Times New Roman" w:hAnsi="Times New Roman"/>
              </w:rPr>
              <w:t xml:space="preserve"> 101</w:t>
            </w:r>
          </w:p>
        </w:tc>
        <w:tc>
          <w:tcPr>
            <w:tcW w:w="1530" w:type="dxa"/>
            <w:noWrap/>
            <w:hideMark/>
          </w:tcPr>
          <w:p w14:paraId="65C24CFB" w14:textId="17BC9B53" w:rsidR="008A2583" w:rsidRPr="008A2583" w:rsidRDefault="00C0322D">
            <w:pPr>
              <w:rPr>
                <w:rFonts w:ascii="Times New Roman" w:hAnsi="Times New Roman"/>
              </w:rPr>
            </w:pPr>
            <w:r>
              <w:rPr>
                <w:rFonts w:ascii="Times New Roman" w:hAnsi="Times New Roman"/>
              </w:rPr>
              <w:t>E</w:t>
            </w:r>
            <w:r w:rsidR="008A2583" w:rsidRPr="008A2583">
              <w:rPr>
                <w:rFonts w:ascii="Times New Roman" w:hAnsi="Times New Roman"/>
              </w:rPr>
              <w:t>ng</w:t>
            </w:r>
            <w:r>
              <w:rPr>
                <w:rFonts w:ascii="Times New Roman" w:hAnsi="Times New Roman"/>
              </w:rPr>
              <w:t>lish</w:t>
            </w:r>
            <w:r w:rsidR="008A2583" w:rsidRPr="008A2583">
              <w:rPr>
                <w:rFonts w:ascii="Times New Roman" w:hAnsi="Times New Roman"/>
              </w:rPr>
              <w:t xml:space="preserve"> 102</w:t>
            </w:r>
          </w:p>
        </w:tc>
      </w:tr>
      <w:tr w:rsidR="006C5B08" w:rsidRPr="008A2583" w14:paraId="26347C36" w14:textId="77777777" w:rsidTr="006C5B08">
        <w:trPr>
          <w:trHeight w:val="300"/>
        </w:trPr>
        <w:tc>
          <w:tcPr>
            <w:tcW w:w="1980" w:type="dxa"/>
            <w:noWrap/>
            <w:hideMark/>
          </w:tcPr>
          <w:p w14:paraId="07742ACF" w14:textId="78201870" w:rsidR="008A2583" w:rsidRPr="008A2583" w:rsidRDefault="00D032D0">
            <w:pPr>
              <w:rPr>
                <w:rFonts w:ascii="Times New Roman" w:hAnsi="Times New Roman"/>
              </w:rPr>
            </w:pPr>
            <w:r>
              <w:rPr>
                <w:rFonts w:ascii="Times New Roman" w:hAnsi="Times New Roman"/>
              </w:rPr>
              <w:t>A</w:t>
            </w:r>
          </w:p>
        </w:tc>
        <w:tc>
          <w:tcPr>
            <w:tcW w:w="1260" w:type="dxa"/>
            <w:noWrap/>
            <w:hideMark/>
          </w:tcPr>
          <w:p w14:paraId="0E9B07A4" w14:textId="77777777" w:rsidR="008A2583" w:rsidRPr="008A2583" w:rsidRDefault="008A2583" w:rsidP="008A2583">
            <w:pPr>
              <w:rPr>
                <w:rFonts w:ascii="Times New Roman" w:hAnsi="Times New Roman"/>
              </w:rPr>
            </w:pPr>
            <w:r w:rsidRPr="008A2583">
              <w:rPr>
                <w:rFonts w:ascii="Times New Roman" w:hAnsi="Times New Roman"/>
              </w:rPr>
              <w:t>3.76</w:t>
            </w:r>
          </w:p>
        </w:tc>
        <w:tc>
          <w:tcPr>
            <w:tcW w:w="1440" w:type="dxa"/>
            <w:noWrap/>
            <w:hideMark/>
          </w:tcPr>
          <w:p w14:paraId="6C80DA25" w14:textId="77777777" w:rsidR="008A2583" w:rsidRPr="008A2583" w:rsidRDefault="008A2583" w:rsidP="008A2583">
            <w:pPr>
              <w:rPr>
                <w:rFonts w:ascii="Times New Roman" w:hAnsi="Times New Roman"/>
              </w:rPr>
            </w:pPr>
            <w:r w:rsidRPr="008A2583">
              <w:rPr>
                <w:rFonts w:ascii="Times New Roman" w:hAnsi="Times New Roman"/>
              </w:rPr>
              <w:t>3</w:t>
            </w:r>
          </w:p>
        </w:tc>
        <w:tc>
          <w:tcPr>
            <w:tcW w:w="1530" w:type="dxa"/>
            <w:noWrap/>
            <w:hideMark/>
          </w:tcPr>
          <w:p w14:paraId="263DA6CB" w14:textId="77777777" w:rsidR="008A2583" w:rsidRPr="008A2583" w:rsidRDefault="008A2583" w:rsidP="008A2583">
            <w:pPr>
              <w:rPr>
                <w:rFonts w:ascii="Times New Roman" w:hAnsi="Times New Roman"/>
              </w:rPr>
            </w:pPr>
            <w:r w:rsidRPr="008A2583">
              <w:rPr>
                <w:rFonts w:ascii="Times New Roman" w:hAnsi="Times New Roman"/>
              </w:rPr>
              <w:t>4</w:t>
            </w:r>
          </w:p>
        </w:tc>
      </w:tr>
      <w:tr w:rsidR="006C5B08" w:rsidRPr="008A2583" w14:paraId="01BD3411" w14:textId="77777777" w:rsidTr="006C5B08">
        <w:trPr>
          <w:trHeight w:val="300"/>
        </w:trPr>
        <w:tc>
          <w:tcPr>
            <w:tcW w:w="1980" w:type="dxa"/>
            <w:noWrap/>
            <w:hideMark/>
          </w:tcPr>
          <w:p w14:paraId="468DDB83" w14:textId="4B2881BF" w:rsidR="008A2583" w:rsidRPr="008A2583" w:rsidRDefault="00D032D0">
            <w:pPr>
              <w:rPr>
                <w:rFonts w:ascii="Times New Roman" w:hAnsi="Times New Roman"/>
              </w:rPr>
            </w:pPr>
            <w:r>
              <w:rPr>
                <w:rFonts w:ascii="Times New Roman" w:hAnsi="Times New Roman"/>
              </w:rPr>
              <w:t>B</w:t>
            </w:r>
          </w:p>
        </w:tc>
        <w:tc>
          <w:tcPr>
            <w:tcW w:w="1260" w:type="dxa"/>
            <w:noWrap/>
            <w:hideMark/>
          </w:tcPr>
          <w:p w14:paraId="4B2B1DC3" w14:textId="77777777" w:rsidR="008A2583" w:rsidRPr="00D30052" w:rsidRDefault="008A2583" w:rsidP="008A2583">
            <w:pPr>
              <w:rPr>
                <w:rFonts w:ascii="Times New Roman" w:hAnsi="Times New Roman"/>
                <w:highlight w:val="yellow"/>
              </w:rPr>
            </w:pPr>
            <w:r w:rsidRPr="00D30052">
              <w:rPr>
                <w:rFonts w:ascii="Times New Roman" w:hAnsi="Times New Roman"/>
                <w:highlight w:val="yellow"/>
              </w:rPr>
              <w:t>3.36</w:t>
            </w:r>
          </w:p>
        </w:tc>
        <w:tc>
          <w:tcPr>
            <w:tcW w:w="1440" w:type="dxa"/>
            <w:noWrap/>
            <w:hideMark/>
          </w:tcPr>
          <w:p w14:paraId="50218E44" w14:textId="77777777" w:rsidR="008A2583" w:rsidRPr="00D30052" w:rsidRDefault="008A2583" w:rsidP="008A2583">
            <w:pPr>
              <w:rPr>
                <w:rFonts w:ascii="Times New Roman" w:hAnsi="Times New Roman"/>
                <w:highlight w:val="yellow"/>
              </w:rPr>
            </w:pPr>
            <w:r w:rsidRPr="00D30052">
              <w:rPr>
                <w:rFonts w:ascii="Times New Roman" w:hAnsi="Times New Roman"/>
              </w:rPr>
              <w:t>2.88</w:t>
            </w:r>
          </w:p>
        </w:tc>
        <w:tc>
          <w:tcPr>
            <w:tcW w:w="1530" w:type="dxa"/>
            <w:noWrap/>
            <w:hideMark/>
          </w:tcPr>
          <w:p w14:paraId="325BAB09" w14:textId="77777777" w:rsidR="008A2583" w:rsidRPr="008A2583" w:rsidRDefault="008A2583" w:rsidP="008A2583">
            <w:pPr>
              <w:rPr>
                <w:rFonts w:ascii="Times New Roman" w:hAnsi="Times New Roman"/>
              </w:rPr>
            </w:pPr>
            <w:r w:rsidRPr="008A2583">
              <w:rPr>
                <w:rFonts w:ascii="Times New Roman" w:hAnsi="Times New Roman"/>
              </w:rPr>
              <w:t>3.73</w:t>
            </w:r>
          </w:p>
        </w:tc>
      </w:tr>
      <w:tr w:rsidR="006C5B08" w:rsidRPr="008A2583" w14:paraId="4337B7E1" w14:textId="77777777" w:rsidTr="006C5B08">
        <w:trPr>
          <w:trHeight w:val="300"/>
        </w:trPr>
        <w:tc>
          <w:tcPr>
            <w:tcW w:w="1980" w:type="dxa"/>
            <w:noWrap/>
            <w:hideMark/>
          </w:tcPr>
          <w:p w14:paraId="528321B4" w14:textId="4CD5D8D6" w:rsidR="008A2583" w:rsidRPr="008A2583" w:rsidRDefault="00D032D0">
            <w:pPr>
              <w:rPr>
                <w:rFonts w:ascii="Times New Roman" w:hAnsi="Times New Roman"/>
              </w:rPr>
            </w:pPr>
            <w:r>
              <w:rPr>
                <w:rFonts w:ascii="Times New Roman" w:hAnsi="Times New Roman"/>
              </w:rPr>
              <w:t>C</w:t>
            </w:r>
          </w:p>
        </w:tc>
        <w:tc>
          <w:tcPr>
            <w:tcW w:w="1260" w:type="dxa"/>
            <w:noWrap/>
            <w:hideMark/>
          </w:tcPr>
          <w:p w14:paraId="0BB0D2B5" w14:textId="77777777" w:rsidR="008A2583" w:rsidRPr="00D30052" w:rsidRDefault="008A2583" w:rsidP="008A2583">
            <w:pPr>
              <w:rPr>
                <w:rFonts w:ascii="Times New Roman" w:hAnsi="Times New Roman"/>
                <w:highlight w:val="yellow"/>
              </w:rPr>
            </w:pPr>
            <w:r w:rsidRPr="00D30052">
              <w:rPr>
                <w:rFonts w:ascii="Times New Roman" w:hAnsi="Times New Roman"/>
                <w:highlight w:val="yellow"/>
              </w:rPr>
              <w:t>3.34</w:t>
            </w:r>
          </w:p>
        </w:tc>
        <w:tc>
          <w:tcPr>
            <w:tcW w:w="1440" w:type="dxa"/>
            <w:noWrap/>
            <w:hideMark/>
          </w:tcPr>
          <w:p w14:paraId="19902BD8" w14:textId="77777777" w:rsidR="008A2583" w:rsidRPr="00D30052" w:rsidRDefault="008A2583" w:rsidP="008A2583">
            <w:pPr>
              <w:rPr>
                <w:rFonts w:ascii="Times New Roman" w:hAnsi="Times New Roman"/>
                <w:highlight w:val="yellow"/>
              </w:rPr>
            </w:pPr>
            <w:r w:rsidRPr="00D30052">
              <w:rPr>
                <w:rFonts w:ascii="Times New Roman" w:hAnsi="Times New Roman"/>
              </w:rPr>
              <w:t>2.67</w:t>
            </w:r>
          </w:p>
        </w:tc>
        <w:tc>
          <w:tcPr>
            <w:tcW w:w="1530" w:type="dxa"/>
            <w:noWrap/>
            <w:hideMark/>
          </w:tcPr>
          <w:p w14:paraId="4AEEB8E3" w14:textId="77777777" w:rsidR="008A2583" w:rsidRPr="008A2583" w:rsidRDefault="008A2583" w:rsidP="008A2583">
            <w:pPr>
              <w:rPr>
                <w:rFonts w:ascii="Times New Roman" w:hAnsi="Times New Roman"/>
              </w:rPr>
            </w:pPr>
            <w:r w:rsidRPr="008A2583">
              <w:rPr>
                <w:rFonts w:ascii="Times New Roman" w:hAnsi="Times New Roman"/>
              </w:rPr>
              <w:t>2.5</w:t>
            </w:r>
          </w:p>
        </w:tc>
      </w:tr>
      <w:tr w:rsidR="006C5B08" w:rsidRPr="008A2583" w14:paraId="29388041" w14:textId="77777777" w:rsidTr="006C5B08">
        <w:trPr>
          <w:trHeight w:val="300"/>
        </w:trPr>
        <w:tc>
          <w:tcPr>
            <w:tcW w:w="1980" w:type="dxa"/>
            <w:noWrap/>
            <w:hideMark/>
          </w:tcPr>
          <w:p w14:paraId="4B95FD4B" w14:textId="022817A2" w:rsidR="008A2583" w:rsidRPr="008A2583" w:rsidRDefault="00D032D0">
            <w:pPr>
              <w:rPr>
                <w:rFonts w:ascii="Times New Roman" w:hAnsi="Times New Roman"/>
              </w:rPr>
            </w:pPr>
            <w:r>
              <w:rPr>
                <w:rFonts w:ascii="Times New Roman" w:hAnsi="Times New Roman"/>
              </w:rPr>
              <w:t>D-F</w:t>
            </w:r>
          </w:p>
        </w:tc>
        <w:tc>
          <w:tcPr>
            <w:tcW w:w="1260" w:type="dxa"/>
            <w:noWrap/>
            <w:hideMark/>
          </w:tcPr>
          <w:p w14:paraId="5422F5D2" w14:textId="77777777" w:rsidR="008A2583" w:rsidRPr="008A2583" w:rsidRDefault="008A2583" w:rsidP="008A2583">
            <w:pPr>
              <w:rPr>
                <w:rFonts w:ascii="Times New Roman" w:hAnsi="Times New Roman"/>
              </w:rPr>
            </w:pPr>
            <w:r w:rsidRPr="008A2583">
              <w:rPr>
                <w:rFonts w:ascii="Times New Roman" w:hAnsi="Times New Roman"/>
              </w:rPr>
              <w:t>2.59</w:t>
            </w:r>
          </w:p>
        </w:tc>
        <w:tc>
          <w:tcPr>
            <w:tcW w:w="1440" w:type="dxa"/>
            <w:noWrap/>
            <w:hideMark/>
          </w:tcPr>
          <w:p w14:paraId="5C3D4F61" w14:textId="77777777" w:rsidR="008A2583" w:rsidRPr="00D30052" w:rsidRDefault="008A2583" w:rsidP="008A2583">
            <w:pPr>
              <w:rPr>
                <w:rFonts w:ascii="Times New Roman" w:hAnsi="Times New Roman"/>
                <w:highlight w:val="yellow"/>
              </w:rPr>
            </w:pPr>
            <w:r w:rsidRPr="00D30052">
              <w:rPr>
                <w:rFonts w:ascii="Times New Roman" w:hAnsi="Times New Roman"/>
                <w:highlight w:val="yellow"/>
              </w:rPr>
              <w:t>3</w:t>
            </w:r>
          </w:p>
        </w:tc>
        <w:tc>
          <w:tcPr>
            <w:tcW w:w="1530" w:type="dxa"/>
            <w:noWrap/>
            <w:hideMark/>
          </w:tcPr>
          <w:p w14:paraId="371B3121" w14:textId="77777777" w:rsidR="008A2583" w:rsidRPr="00D30052" w:rsidRDefault="008A2583" w:rsidP="008A2583">
            <w:pPr>
              <w:rPr>
                <w:rFonts w:ascii="Times New Roman" w:hAnsi="Times New Roman"/>
                <w:highlight w:val="yellow"/>
              </w:rPr>
            </w:pPr>
            <w:r w:rsidRPr="00D30052">
              <w:rPr>
                <w:rFonts w:ascii="Times New Roman" w:hAnsi="Times New Roman"/>
                <w:highlight w:val="yellow"/>
              </w:rPr>
              <w:t>2.75</w:t>
            </w:r>
          </w:p>
        </w:tc>
      </w:tr>
    </w:tbl>
    <w:p w14:paraId="34961B10" w14:textId="77777777" w:rsidR="00C0322D" w:rsidRDefault="00C0322D" w:rsidP="00C97598">
      <w:pPr>
        <w:rPr>
          <w:rFonts w:ascii="Times New Roman" w:hAnsi="Times New Roman"/>
        </w:rPr>
      </w:pPr>
    </w:p>
    <w:p w14:paraId="4B977CB9" w14:textId="77777777" w:rsidR="00C0322D" w:rsidRDefault="00C0322D" w:rsidP="00C97598">
      <w:pPr>
        <w:rPr>
          <w:noProof/>
        </w:rPr>
      </w:pPr>
      <w:r>
        <w:rPr>
          <w:rFonts w:ascii="Times New Roman" w:hAnsi="Times New Roman"/>
        </w:rPr>
        <w:t>Figure 5</w:t>
      </w:r>
      <w:r w:rsidR="008A2583">
        <w:rPr>
          <w:rFonts w:ascii="Times New Roman" w:hAnsi="Times New Roman"/>
        </w:rPr>
        <w:t xml:space="preserve">. </w:t>
      </w:r>
      <w:r>
        <w:rPr>
          <w:rFonts w:ascii="Times New Roman" w:hAnsi="Times New Roman"/>
        </w:rPr>
        <w:t>Level 5 Students’ GPA and Grades by EPI Levels and Grades</w:t>
      </w:r>
      <w:r>
        <w:rPr>
          <w:noProof/>
        </w:rPr>
        <w:t xml:space="preserve"> </w:t>
      </w:r>
    </w:p>
    <w:p w14:paraId="77BD3FA5" w14:textId="1019B654" w:rsidR="00C1114A" w:rsidRDefault="008550BE" w:rsidP="00C97598">
      <w:pPr>
        <w:rPr>
          <w:rFonts w:ascii="Times New Roman" w:hAnsi="Times New Roman"/>
          <w:b/>
        </w:rPr>
      </w:pPr>
      <w:r>
        <w:rPr>
          <w:noProof/>
        </w:rPr>
        <w:drawing>
          <wp:inline distT="0" distB="0" distL="0" distR="0" wp14:anchorId="65620501" wp14:editId="6C6A19B7">
            <wp:extent cx="3709035" cy="2202180"/>
            <wp:effectExtent l="0" t="0" r="24765" b="330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t xml:space="preserve"> </w:t>
      </w:r>
    </w:p>
    <w:p w14:paraId="2C3E92CD" w14:textId="77777777" w:rsidR="006C5B08" w:rsidRDefault="006C5B08" w:rsidP="00C97598">
      <w:pPr>
        <w:rPr>
          <w:rFonts w:ascii="Times New Roman" w:hAnsi="Times New Roman" w:cs="Geneva"/>
          <w:color w:val="000000"/>
        </w:rPr>
      </w:pPr>
    </w:p>
    <w:p w14:paraId="6427AAE1" w14:textId="77777777" w:rsidR="00CA0289" w:rsidRDefault="005B2C22" w:rsidP="00CA0289">
      <w:pPr>
        <w:rPr>
          <w:rFonts w:ascii="Times New Roman" w:hAnsi="Times New Roman"/>
        </w:rPr>
      </w:pPr>
      <w:r>
        <w:rPr>
          <w:rFonts w:ascii="Times New Roman" w:hAnsi="Times New Roman"/>
        </w:rPr>
        <w:t xml:space="preserve">2.1.3 </w:t>
      </w:r>
      <w:r w:rsidR="00CA0289">
        <w:rPr>
          <w:rFonts w:ascii="Times New Roman" w:hAnsi="Times New Roman"/>
        </w:rPr>
        <w:t>Students’ GW grades at level 6 and academic achievement at USC</w:t>
      </w:r>
    </w:p>
    <w:p w14:paraId="60D357C6" w14:textId="6263B78D" w:rsidR="00CA0289" w:rsidRDefault="00CA0289" w:rsidP="00CA0289">
      <w:pPr>
        <w:rPr>
          <w:rFonts w:ascii="Times New Roman" w:hAnsi="Times New Roman" w:cs="Geneva"/>
          <w:color w:val="000000"/>
        </w:rPr>
      </w:pPr>
      <w:r>
        <w:rPr>
          <w:rFonts w:ascii="Times New Roman" w:hAnsi="Times New Roman" w:cs="Geneva"/>
          <w:color w:val="000000"/>
        </w:rPr>
        <w:t xml:space="preserve"> As Table 7 and Figure</w:t>
      </w:r>
      <w:r w:rsidR="00A44307">
        <w:rPr>
          <w:rFonts w:ascii="Times New Roman" w:hAnsi="Times New Roman" w:cs="Geneva"/>
          <w:color w:val="000000"/>
        </w:rPr>
        <w:t xml:space="preserve"> 7</w:t>
      </w:r>
      <w:r>
        <w:rPr>
          <w:rFonts w:ascii="Times New Roman" w:hAnsi="Times New Roman" w:cs="Geneva"/>
          <w:color w:val="000000"/>
        </w:rPr>
        <w:t xml:space="preserve"> show, students’ grade from GW 6 classes may be a good indicator of their academic achievement because students’ grade levels show a very strong correlation with the three types of scores: average GPA and average grade from English 101 and 102. The only one exception was the case of the average score of </w:t>
      </w:r>
      <w:r w:rsidR="00CC0F7E">
        <w:rPr>
          <w:rFonts w:ascii="Times New Roman" w:hAnsi="Times New Roman" w:cs="Geneva"/>
          <w:color w:val="000000"/>
        </w:rPr>
        <w:t>D-F</w:t>
      </w:r>
      <w:r>
        <w:rPr>
          <w:rFonts w:ascii="Times New Roman" w:hAnsi="Times New Roman" w:cs="Geneva"/>
          <w:color w:val="000000"/>
        </w:rPr>
        <w:t xml:space="preserve"> students, which seems to be due to the 4 students that got an </w:t>
      </w:r>
      <w:r w:rsidR="0054564B">
        <w:rPr>
          <w:rFonts w:ascii="Times New Roman" w:hAnsi="Times New Roman" w:cs="Geneva"/>
          <w:color w:val="000000"/>
        </w:rPr>
        <w:t>A</w:t>
      </w:r>
      <w:r>
        <w:rPr>
          <w:rFonts w:ascii="Times New Roman" w:hAnsi="Times New Roman" w:cs="Geneva"/>
          <w:color w:val="000000"/>
        </w:rPr>
        <w:t xml:space="preserve"> grade, compared with much lower grades from the other two measures, which was mentioned in the sub-section above.</w:t>
      </w:r>
    </w:p>
    <w:p w14:paraId="10FDF8C1" w14:textId="77777777" w:rsidR="00A343C7" w:rsidRDefault="00A343C7" w:rsidP="00CA0289">
      <w:pPr>
        <w:rPr>
          <w:rFonts w:ascii="Times New Roman" w:hAnsi="Times New Roman" w:cs="Geneva"/>
          <w:color w:val="000000"/>
        </w:rPr>
      </w:pPr>
    </w:p>
    <w:p w14:paraId="26DB1F32" w14:textId="77777777" w:rsidR="00CA0289" w:rsidRPr="00FA37B8" w:rsidRDefault="00CA0289" w:rsidP="00CA0289">
      <w:pPr>
        <w:rPr>
          <w:rFonts w:ascii="Times New Roman" w:hAnsi="Times New Roman"/>
        </w:rPr>
      </w:pPr>
      <w:r>
        <w:rPr>
          <w:rFonts w:ascii="Times New Roman" w:hAnsi="Times New Roman"/>
        </w:rPr>
        <w:t>Table 7. Level 5 Students’ GW Grades vs. Average GPAs and Scores from English 101 and 102</w:t>
      </w:r>
    </w:p>
    <w:tbl>
      <w:tblPr>
        <w:tblStyle w:val="TableGrid"/>
        <w:tblW w:w="0" w:type="auto"/>
        <w:tblInd w:w="108" w:type="dxa"/>
        <w:tblLayout w:type="fixed"/>
        <w:tblLook w:val="04A0" w:firstRow="1" w:lastRow="0" w:firstColumn="1" w:lastColumn="0" w:noHBand="0" w:noVBand="1"/>
      </w:tblPr>
      <w:tblGrid>
        <w:gridCol w:w="1800"/>
        <w:gridCol w:w="1440"/>
        <w:gridCol w:w="1530"/>
        <w:gridCol w:w="1782"/>
      </w:tblGrid>
      <w:tr w:rsidR="00CA0289" w:rsidRPr="008A2583" w14:paraId="1CCC7A5A" w14:textId="77777777" w:rsidTr="00CA0289">
        <w:trPr>
          <w:trHeight w:val="431"/>
        </w:trPr>
        <w:tc>
          <w:tcPr>
            <w:tcW w:w="1800" w:type="dxa"/>
            <w:noWrap/>
            <w:hideMark/>
          </w:tcPr>
          <w:p w14:paraId="3F4899F4" w14:textId="77777777" w:rsidR="00CA0289" w:rsidRPr="008A2583" w:rsidRDefault="00CA0289" w:rsidP="00CA0289">
            <w:pPr>
              <w:rPr>
                <w:rFonts w:ascii="Times New Roman" w:hAnsi="Times New Roman"/>
              </w:rPr>
            </w:pPr>
            <w:r>
              <w:rPr>
                <w:rFonts w:ascii="Times New Roman" w:hAnsi="Times New Roman"/>
              </w:rPr>
              <w:t>EPI GW Grades</w:t>
            </w:r>
          </w:p>
        </w:tc>
        <w:tc>
          <w:tcPr>
            <w:tcW w:w="1440" w:type="dxa"/>
            <w:noWrap/>
            <w:hideMark/>
          </w:tcPr>
          <w:p w14:paraId="5F4708D8" w14:textId="77777777" w:rsidR="00CA0289" w:rsidRPr="008A2583" w:rsidRDefault="00CA0289" w:rsidP="00CA0289">
            <w:pPr>
              <w:rPr>
                <w:rFonts w:ascii="Times New Roman" w:hAnsi="Times New Roman"/>
              </w:rPr>
            </w:pPr>
            <w:r>
              <w:rPr>
                <w:rFonts w:ascii="Times New Roman" w:hAnsi="Times New Roman"/>
              </w:rPr>
              <w:t>GPA</w:t>
            </w:r>
          </w:p>
        </w:tc>
        <w:tc>
          <w:tcPr>
            <w:tcW w:w="1530" w:type="dxa"/>
            <w:noWrap/>
            <w:hideMark/>
          </w:tcPr>
          <w:p w14:paraId="432B3331" w14:textId="77777777" w:rsidR="00CA0289" w:rsidRPr="008A2583" w:rsidRDefault="00CA0289" w:rsidP="00CA0289">
            <w:pPr>
              <w:rPr>
                <w:rFonts w:ascii="Times New Roman" w:hAnsi="Times New Roman"/>
              </w:rPr>
            </w:pPr>
            <w:r>
              <w:rPr>
                <w:rFonts w:ascii="Times New Roman" w:hAnsi="Times New Roman"/>
              </w:rPr>
              <w:t>E</w:t>
            </w:r>
            <w:r w:rsidRPr="008A2583">
              <w:rPr>
                <w:rFonts w:ascii="Times New Roman" w:hAnsi="Times New Roman"/>
              </w:rPr>
              <w:t>ng</w:t>
            </w:r>
            <w:r>
              <w:rPr>
                <w:rFonts w:ascii="Times New Roman" w:hAnsi="Times New Roman"/>
              </w:rPr>
              <w:t>lish</w:t>
            </w:r>
            <w:r w:rsidRPr="008A2583">
              <w:rPr>
                <w:rFonts w:ascii="Times New Roman" w:hAnsi="Times New Roman"/>
              </w:rPr>
              <w:t xml:space="preserve"> 101</w:t>
            </w:r>
          </w:p>
        </w:tc>
        <w:tc>
          <w:tcPr>
            <w:tcW w:w="1782" w:type="dxa"/>
            <w:noWrap/>
            <w:hideMark/>
          </w:tcPr>
          <w:p w14:paraId="6B57A7C7" w14:textId="77777777" w:rsidR="00CA0289" w:rsidRPr="008A2583" w:rsidRDefault="00CA0289" w:rsidP="00CA0289">
            <w:pPr>
              <w:rPr>
                <w:rFonts w:ascii="Times New Roman" w:hAnsi="Times New Roman"/>
              </w:rPr>
            </w:pPr>
            <w:r>
              <w:rPr>
                <w:rFonts w:ascii="Times New Roman" w:hAnsi="Times New Roman"/>
              </w:rPr>
              <w:t>E</w:t>
            </w:r>
            <w:r w:rsidRPr="008A2583">
              <w:rPr>
                <w:rFonts w:ascii="Times New Roman" w:hAnsi="Times New Roman"/>
              </w:rPr>
              <w:t>ng</w:t>
            </w:r>
            <w:r>
              <w:rPr>
                <w:rFonts w:ascii="Times New Roman" w:hAnsi="Times New Roman"/>
              </w:rPr>
              <w:t>lish</w:t>
            </w:r>
            <w:r w:rsidRPr="008A2583">
              <w:rPr>
                <w:rFonts w:ascii="Times New Roman" w:hAnsi="Times New Roman"/>
              </w:rPr>
              <w:t xml:space="preserve"> 102</w:t>
            </w:r>
          </w:p>
        </w:tc>
      </w:tr>
      <w:tr w:rsidR="00CA0289" w:rsidRPr="008A2583" w14:paraId="640424D2" w14:textId="77777777" w:rsidTr="00CA0289">
        <w:trPr>
          <w:trHeight w:val="341"/>
        </w:trPr>
        <w:tc>
          <w:tcPr>
            <w:tcW w:w="1800" w:type="dxa"/>
            <w:noWrap/>
            <w:hideMark/>
          </w:tcPr>
          <w:p w14:paraId="6B7E8850" w14:textId="77777777" w:rsidR="00CA0289" w:rsidRPr="008A2583" w:rsidRDefault="00CA0289" w:rsidP="00CA0289">
            <w:pPr>
              <w:rPr>
                <w:rFonts w:ascii="Times New Roman" w:hAnsi="Times New Roman"/>
              </w:rPr>
            </w:pPr>
            <w:r w:rsidRPr="008A2583">
              <w:rPr>
                <w:rFonts w:ascii="Times New Roman" w:hAnsi="Times New Roman"/>
              </w:rPr>
              <w:t>6a</w:t>
            </w:r>
          </w:p>
        </w:tc>
        <w:tc>
          <w:tcPr>
            <w:tcW w:w="1440" w:type="dxa"/>
            <w:noWrap/>
            <w:hideMark/>
          </w:tcPr>
          <w:p w14:paraId="7040590D" w14:textId="77777777" w:rsidR="00CA0289" w:rsidRPr="008A2583" w:rsidRDefault="00CA0289" w:rsidP="00CA0289">
            <w:pPr>
              <w:rPr>
                <w:rFonts w:ascii="Times New Roman" w:hAnsi="Times New Roman"/>
              </w:rPr>
            </w:pPr>
            <w:r w:rsidRPr="008A2583">
              <w:rPr>
                <w:rFonts w:ascii="Times New Roman" w:hAnsi="Times New Roman"/>
              </w:rPr>
              <w:t>3.71</w:t>
            </w:r>
          </w:p>
        </w:tc>
        <w:tc>
          <w:tcPr>
            <w:tcW w:w="1530" w:type="dxa"/>
            <w:noWrap/>
            <w:hideMark/>
          </w:tcPr>
          <w:p w14:paraId="6FA52874" w14:textId="77777777" w:rsidR="00CA0289" w:rsidRPr="008A2583" w:rsidRDefault="00CA0289" w:rsidP="00CA0289">
            <w:pPr>
              <w:rPr>
                <w:rFonts w:ascii="Times New Roman" w:hAnsi="Times New Roman"/>
              </w:rPr>
            </w:pPr>
            <w:r w:rsidRPr="008A2583">
              <w:rPr>
                <w:rFonts w:ascii="Times New Roman" w:hAnsi="Times New Roman"/>
              </w:rPr>
              <w:t>3.69</w:t>
            </w:r>
          </w:p>
        </w:tc>
        <w:tc>
          <w:tcPr>
            <w:tcW w:w="1782" w:type="dxa"/>
            <w:noWrap/>
            <w:hideMark/>
          </w:tcPr>
          <w:p w14:paraId="2E0DD72A" w14:textId="77777777" w:rsidR="00CA0289" w:rsidRPr="008A2583" w:rsidRDefault="00CA0289" w:rsidP="00CA0289">
            <w:pPr>
              <w:rPr>
                <w:rFonts w:ascii="Times New Roman" w:hAnsi="Times New Roman"/>
              </w:rPr>
            </w:pPr>
            <w:r w:rsidRPr="008A2583">
              <w:rPr>
                <w:rFonts w:ascii="Times New Roman" w:hAnsi="Times New Roman"/>
              </w:rPr>
              <w:t>4</w:t>
            </w:r>
          </w:p>
        </w:tc>
      </w:tr>
      <w:tr w:rsidR="00CA0289" w:rsidRPr="008A2583" w14:paraId="0CF48648" w14:textId="77777777" w:rsidTr="00CA0289">
        <w:trPr>
          <w:trHeight w:val="344"/>
        </w:trPr>
        <w:tc>
          <w:tcPr>
            <w:tcW w:w="1800" w:type="dxa"/>
            <w:noWrap/>
            <w:hideMark/>
          </w:tcPr>
          <w:p w14:paraId="0E057FD5" w14:textId="77777777" w:rsidR="00CA0289" w:rsidRPr="008A2583" w:rsidRDefault="00CA0289" w:rsidP="00CA0289">
            <w:pPr>
              <w:rPr>
                <w:rFonts w:ascii="Times New Roman" w:hAnsi="Times New Roman"/>
              </w:rPr>
            </w:pPr>
            <w:r w:rsidRPr="008A2583">
              <w:rPr>
                <w:rFonts w:ascii="Times New Roman" w:hAnsi="Times New Roman"/>
              </w:rPr>
              <w:t>6b</w:t>
            </w:r>
          </w:p>
        </w:tc>
        <w:tc>
          <w:tcPr>
            <w:tcW w:w="1440" w:type="dxa"/>
            <w:noWrap/>
            <w:hideMark/>
          </w:tcPr>
          <w:p w14:paraId="0405C54E" w14:textId="77777777" w:rsidR="00CA0289" w:rsidRPr="008A2583" w:rsidRDefault="00CA0289" w:rsidP="00CA0289">
            <w:pPr>
              <w:rPr>
                <w:rFonts w:ascii="Times New Roman" w:hAnsi="Times New Roman"/>
              </w:rPr>
            </w:pPr>
            <w:r w:rsidRPr="008A2583">
              <w:rPr>
                <w:rFonts w:ascii="Times New Roman" w:hAnsi="Times New Roman"/>
              </w:rPr>
              <w:t>3.38</w:t>
            </w:r>
          </w:p>
        </w:tc>
        <w:tc>
          <w:tcPr>
            <w:tcW w:w="1530" w:type="dxa"/>
            <w:noWrap/>
            <w:hideMark/>
          </w:tcPr>
          <w:p w14:paraId="6C6EFA47" w14:textId="77777777" w:rsidR="00CA0289" w:rsidRPr="008A2583" w:rsidRDefault="00CA0289" w:rsidP="00CA0289">
            <w:pPr>
              <w:rPr>
                <w:rFonts w:ascii="Times New Roman" w:hAnsi="Times New Roman"/>
              </w:rPr>
            </w:pPr>
            <w:r w:rsidRPr="008A2583">
              <w:rPr>
                <w:rFonts w:ascii="Times New Roman" w:hAnsi="Times New Roman"/>
              </w:rPr>
              <w:t>3.39</w:t>
            </w:r>
          </w:p>
        </w:tc>
        <w:tc>
          <w:tcPr>
            <w:tcW w:w="1782" w:type="dxa"/>
            <w:noWrap/>
            <w:hideMark/>
          </w:tcPr>
          <w:p w14:paraId="788477CA" w14:textId="77777777" w:rsidR="00CA0289" w:rsidRPr="008A2583" w:rsidRDefault="00CA0289" w:rsidP="00CA0289">
            <w:pPr>
              <w:rPr>
                <w:rFonts w:ascii="Times New Roman" w:hAnsi="Times New Roman"/>
              </w:rPr>
            </w:pPr>
            <w:r w:rsidRPr="008A2583">
              <w:rPr>
                <w:rFonts w:ascii="Times New Roman" w:hAnsi="Times New Roman"/>
              </w:rPr>
              <w:t>3.58</w:t>
            </w:r>
          </w:p>
        </w:tc>
      </w:tr>
      <w:tr w:rsidR="00CA0289" w:rsidRPr="008A2583" w14:paraId="6B15DC21" w14:textId="77777777" w:rsidTr="00CA0289">
        <w:trPr>
          <w:trHeight w:val="344"/>
        </w:trPr>
        <w:tc>
          <w:tcPr>
            <w:tcW w:w="1800" w:type="dxa"/>
            <w:noWrap/>
            <w:hideMark/>
          </w:tcPr>
          <w:p w14:paraId="1BD0426A" w14:textId="77777777" w:rsidR="00CA0289" w:rsidRPr="008A2583" w:rsidRDefault="00CA0289" w:rsidP="00CA0289">
            <w:pPr>
              <w:rPr>
                <w:rFonts w:ascii="Times New Roman" w:hAnsi="Times New Roman"/>
              </w:rPr>
            </w:pPr>
            <w:r w:rsidRPr="008A2583">
              <w:rPr>
                <w:rFonts w:ascii="Times New Roman" w:hAnsi="Times New Roman"/>
              </w:rPr>
              <w:t>6c</w:t>
            </w:r>
          </w:p>
        </w:tc>
        <w:tc>
          <w:tcPr>
            <w:tcW w:w="1440" w:type="dxa"/>
            <w:noWrap/>
            <w:hideMark/>
          </w:tcPr>
          <w:p w14:paraId="1F909036" w14:textId="77777777" w:rsidR="00CA0289" w:rsidRPr="008A2583" w:rsidRDefault="00CA0289" w:rsidP="00CA0289">
            <w:pPr>
              <w:rPr>
                <w:rFonts w:ascii="Times New Roman" w:hAnsi="Times New Roman"/>
              </w:rPr>
            </w:pPr>
            <w:r w:rsidRPr="008A2583">
              <w:rPr>
                <w:rFonts w:ascii="Times New Roman" w:hAnsi="Times New Roman"/>
              </w:rPr>
              <w:t>3.16</w:t>
            </w:r>
          </w:p>
        </w:tc>
        <w:tc>
          <w:tcPr>
            <w:tcW w:w="1530" w:type="dxa"/>
            <w:noWrap/>
            <w:hideMark/>
          </w:tcPr>
          <w:p w14:paraId="07F927D6" w14:textId="77777777" w:rsidR="00CA0289" w:rsidRPr="008A2583" w:rsidRDefault="00CA0289" w:rsidP="00CA0289">
            <w:pPr>
              <w:rPr>
                <w:rFonts w:ascii="Times New Roman" w:hAnsi="Times New Roman"/>
              </w:rPr>
            </w:pPr>
            <w:r w:rsidRPr="008A2583">
              <w:rPr>
                <w:rFonts w:ascii="Times New Roman" w:hAnsi="Times New Roman"/>
              </w:rPr>
              <w:t>3.14</w:t>
            </w:r>
          </w:p>
        </w:tc>
        <w:tc>
          <w:tcPr>
            <w:tcW w:w="1782" w:type="dxa"/>
            <w:noWrap/>
            <w:hideMark/>
          </w:tcPr>
          <w:p w14:paraId="7C79E367" w14:textId="77777777" w:rsidR="00CA0289" w:rsidRPr="008A2583" w:rsidRDefault="00CA0289" w:rsidP="00CA0289">
            <w:pPr>
              <w:rPr>
                <w:rFonts w:ascii="Times New Roman" w:hAnsi="Times New Roman"/>
              </w:rPr>
            </w:pPr>
            <w:r w:rsidRPr="008A2583">
              <w:rPr>
                <w:rFonts w:ascii="Times New Roman" w:hAnsi="Times New Roman"/>
              </w:rPr>
              <w:t>2.68</w:t>
            </w:r>
          </w:p>
        </w:tc>
      </w:tr>
      <w:tr w:rsidR="00CA0289" w:rsidRPr="008A2583" w14:paraId="27178A9E" w14:textId="77777777" w:rsidTr="00CA0289">
        <w:trPr>
          <w:trHeight w:val="350"/>
        </w:trPr>
        <w:tc>
          <w:tcPr>
            <w:tcW w:w="1800" w:type="dxa"/>
            <w:noWrap/>
            <w:hideMark/>
          </w:tcPr>
          <w:p w14:paraId="40AAC59D" w14:textId="77777777" w:rsidR="00CA0289" w:rsidRPr="008A2583" w:rsidRDefault="00CA0289" w:rsidP="00CA0289">
            <w:pPr>
              <w:rPr>
                <w:rFonts w:ascii="Times New Roman" w:hAnsi="Times New Roman"/>
              </w:rPr>
            </w:pPr>
            <w:r w:rsidRPr="008A2583">
              <w:rPr>
                <w:rFonts w:ascii="Times New Roman" w:hAnsi="Times New Roman"/>
              </w:rPr>
              <w:t>6d-6f</w:t>
            </w:r>
          </w:p>
        </w:tc>
        <w:tc>
          <w:tcPr>
            <w:tcW w:w="1440" w:type="dxa"/>
            <w:noWrap/>
            <w:hideMark/>
          </w:tcPr>
          <w:p w14:paraId="726BF9F7" w14:textId="77777777" w:rsidR="00CA0289" w:rsidRPr="008A2583" w:rsidRDefault="00CA0289" w:rsidP="00CA0289">
            <w:pPr>
              <w:rPr>
                <w:rFonts w:ascii="Times New Roman" w:hAnsi="Times New Roman"/>
              </w:rPr>
            </w:pPr>
            <w:r w:rsidRPr="008A2583">
              <w:rPr>
                <w:rFonts w:ascii="Times New Roman" w:hAnsi="Times New Roman"/>
              </w:rPr>
              <w:t>2.85</w:t>
            </w:r>
          </w:p>
        </w:tc>
        <w:tc>
          <w:tcPr>
            <w:tcW w:w="1530" w:type="dxa"/>
            <w:noWrap/>
            <w:hideMark/>
          </w:tcPr>
          <w:p w14:paraId="33616215" w14:textId="77777777" w:rsidR="00CA0289" w:rsidRPr="008A2583" w:rsidRDefault="00CA0289" w:rsidP="00CA0289">
            <w:pPr>
              <w:rPr>
                <w:rFonts w:ascii="Times New Roman" w:hAnsi="Times New Roman"/>
              </w:rPr>
            </w:pPr>
            <w:r w:rsidRPr="008A2583">
              <w:rPr>
                <w:rFonts w:ascii="Times New Roman" w:hAnsi="Times New Roman"/>
              </w:rPr>
              <w:t>2.83</w:t>
            </w:r>
          </w:p>
        </w:tc>
        <w:tc>
          <w:tcPr>
            <w:tcW w:w="1782" w:type="dxa"/>
            <w:noWrap/>
            <w:hideMark/>
          </w:tcPr>
          <w:p w14:paraId="39FC8217" w14:textId="77777777" w:rsidR="00CA0289" w:rsidRPr="008A2583" w:rsidRDefault="00CA0289" w:rsidP="00CA0289">
            <w:pPr>
              <w:rPr>
                <w:rFonts w:ascii="Times New Roman" w:hAnsi="Times New Roman"/>
              </w:rPr>
            </w:pPr>
            <w:r w:rsidRPr="008A2583">
              <w:rPr>
                <w:rFonts w:ascii="Times New Roman" w:hAnsi="Times New Roman"/>
              </w:rPr>
              <w:t>3.69</w:t>
            </w:r>
          </w:p>
        </w:tc>
      </w:tr>
    </w:tbl>
    <w:p w14:paraId="4D2D9635" w14:textId="77777777" w:rsidR="00CA0289" w:rsidRDefault="00CA0289" w:rsidP="00CA0289">
      <w:pPr>
        <w:rPr>
          <w:rFonts w:ascii="Times New Roman" w:hAnsi="Times New Roman"/>
        </w:rPr>
      </w:pPr>
    </w:p>
    <w:p w14:paraId="68E83BAE" w14:textId="77777777" w:rsidR="00CA0289" w:rsidRDefault="00CA0289" w:rsidP="00CA0289">
      <w:pPr>
        <w:rPr>
          <w:rFonts w:ascii="Times New Roman" w:hAnsi="Times New Roman"/>
          <w:b/>
        </w:rPr>
      </w:pPr>
      <w:r>
        <w:rPr>
          <w:rFonts w:ascii="Times New Roman" w:hAnsi="Times New Roman"/>
        </w:rPr>
        <w:t>Figure 7. Level 6 Students’ GW Grades vs. Average GPAs and Scores from English 101 and 102</w:t>
      </w:r>
    </w:p>
    <w:p w14:paraId="3046668B" w14:textId="77777777" w:rsidR="00CA0289" w:rsidRDefault="00CA0289" w:rsidP="00CA0289">
      <w:pPr>
        <w:rPr>
          <w:rFonts w:ascii="Times New Roman" w:hAnsi="Times New Roman"/>
          <w:b/>
        </w:rPr>
      </w:pPr>
      <w:r>
        <w:rPr>
          <w:noProof/>
        </w:rPr>
        <w:drawing>
          <wp:inline distT="0" distB="0" distL="0" distR="0" wp14:anchorId="17D89E4B" wp14:editId="560F86BF">
            <wp:extent cx="3709035" cy="2270760"/>
            <wp:effectExtent l="0" t="0" r="24765"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EA0C3F" w14:textId="77777777" w:rsidR="00CA0289" w:rsidRDefault="00CA0289" w:rsidP="00565FBA">
      <w:pPr>
        <w:rPr>
          <w:rFonts w:ascii="Times New Roman" w:hAnsi="Times New Roman"/>
        </w:rPr>
      </w:pPr>
    </w:p>
    <w:p w14:paraId="2CB12701" w14:textId="77777777" w:rsidR="00A343C7" w:rsidRDefault="00A343C7" w:rsidP="00565FBA">
      <w:pPr>
        <w:rPr>
          <w:rFonts w:ascii="Times New Roman" w:hAnsi="Times New Roman"/>
        </w:rPr>
      </w:pPr>
    </w:p>
    <w:p w14:paraId="22A864A4" w14:textId="77777777" w:rsidR="00CA0289" w:rsidRDefault="00565FBA" w:rsidP="00CA0289">
      <w:pPr>
        <w:rPr>
          <w:rFonts w:ascii="Times New Roman" w:hAnsi="Times New Roman"/>
        </w:rPr>
      </w:pPr>
      <w:r>
        <w:rPr>
          <w:rFonts w:ascii="Times New Roman" w:hAnsi="Times New Roman"/>
        </w:rPr>
        <w:t xml:space="preserve">2.1.4 </w:t>
      </w:r>
      <w:proofErr w:type="gramStart"/>
      <w:r w:rsidR="00CA0289">
        <w:rPr>
          <w:rFonts w:ascii="Times New Roman" w:hAnsi="Times New Roman"/>
        </w:rPr>
        <w:t>The</w:t>
      </w:r>
      <w:proofErr w:type="gramEnd"/>
      <w:r w:rsidR="00CA0289">
        <w:rPr>
          <w:rFonts w:ascii="Times New Roman" w:hAnsi="Times New Roman"/>
        </w:rPr>
        <w:t xml:space="preserve"> comparison of Level 5 and 6 Students’ academic achievement across GW grade levels </w:t>
      </w:r>
    </w:p>
    <w:p w14:paraId="3129A266" w14:textId="2C639FD9" w:rsidR="00CA0289" w:rsidRDefault="00CA0289" w:rsidP="00CA0289">
      <w:pPr>
        <w:rPr>
          <w:rFonts w:ascii="Times New Roman" w:hAnsi="Times New Roman" w:cs="Geneva"/>
          <w:color w:val="000000"/>
        </w:rPr>
      </w:pPr>
      <w:r>
        <w:rPr>
          <w:rFonts w:ascii="Times New Roman" w:hAnsi="Times New Roman" w:cs="Geneva"/>
          <w:color w:val="000000"/>
        </w:rPr>
        <w:t>In the case of level 6 students, as Table 6 shows, the average GPAs and scores from English 102 were not much different between level 5 and level 6 students</w:t>
      </w:r>
      <w:r w:rsidRPr="00825702">
        <w:rPr>
          <w:rFonts w:ascii="Times New Roman" w:hAnsi="Times New Roman" w:cs="Geneva"/>
          <w:color w:val="000000"/>
        </w:rPr>
        <w:t xml:space="preserve"> </w:t>
      </w:r>
      <w:r>
        <w:rPr>
          <w:rFonts w:ascii="Times New Roman" w:hAnsi="Times New Roman" w:cs="Geneva"/>
          <w:color w:val="000000"/>
        </w:rPr>
        <w:t xml:space="preserve">across different EPI grades, except for the </w:t>
      </w:r>
      <w:r w:rsidR="003937F0">
        <w:rPr>
          <w:rFonts w:ascii="Times New Roman" w:hAnsi="Times New Roman" w:cs="Geneva"/>
          <w:color w:val="000000"/>
        </w:rPr>
        <w:t>D-F</w:t>
      </w:r>
      <w:r>
        <w:rPr>
          <w:rFonts w:ascii="Times New Roman" w:hAnsi="Times New Roman" w:cs="Geneva"/>
          <w:color w:val="000000"/>
        </w:rPr>
        <w:t xml:space="preserve"> students in scores from English 102. It means that the difference in class levels at EPI classes is not so important as that in grades within each class level in predicting students’ academic achievement in college. The abnormal rise of the average score from English 102 in the </w:t>
      </w:r>
      <w:r w:rsidR="00F7748B">
        <w:rPr>
          <w:rFonts w:ascii="Times New Roman" w:hAnsi="Times New Roman" w:cs="Geneva"/>
          <w:color w:val="000000"/>
        </w:rPr>
        <w:t xml:space="preserve">D-F </w:t>
      </w:r>
      <w:r>
        <w:rPr>
          <w:rFonts w:ascii="Times New Roman" w:hAnsi="Times New Roman" w:cs="Geneva"/>
          <w:color w:val="000000"/>
        </w:rPr>
        <w:t xml:space="preserve">students at level 6 compared to level 5 seems to be due to the presence of these two types of students: the students that did not do their best at Level 6 while preparing for TOEFL and the 4 (out of 8) students who got an </w:t>
      </w:r>
      <w:r w:rsidR="00972D5C">
        <w:rPr>
          <w:rFonts w:ascii="Times New Roman" w:hAnsi="Times New Roman" w:cs="Geneva"/>
          <w:color w:val="000000"/>
        </w:rPr>
        <w:t>A</w:t>
      </w:r>
      <w:r>
        <w:rPr>
          <w:rFonts w:ascii="Times New Roman" w:hAnsi="Times New Roman" w:cs="Geneva"/>
          <w:color w:val="000000"/>
        </w:rPr>
        <w:t xml:space="preserve"> grade  (4 points on a 4-point scale) although they got much lower GPAs and scores </w:t>
      </w:r>
      <w:r w:rsidR="006875CB">
        <w:rPr>
          <w:rFonts w:ascii="Times New Roman" w:hAnsi="Times New Roman" w:cs="Geneva"/>
          <w:color w:val="000000"/>
        </w:rPr>
        <w:t>in</w:t>
      </w:r>
      <w:r>
        <w:rPr>
          <w:rFonts w:ascii="Times New Roman" w:hAnsi="Times New Roman" w:cs="Geneva"/>
          <w:color w:val="000000"/>
        </w:rPr>
        <w:t xml:space="preserve"> English 101. </w:t>
      </w:r>
    </w:p>
    <w:p w14:paraId="2547ED16" w14:textId="77777777" w:rsidR="00CA0289" w:rsidRDefault="00CA0289" w:rsidP="00CA0289">
      <w:pPr>
        <w:rPr>
          <w:rFonts w:ascii="Times New Roman" w:hAnsi="Times New Roman"/>
          <w:b/>
        </w:rPr>
      </w:pPr>
    </w:p>
    <w:p w14:paraId="535F2A26" w14:textId="77777777" w:rsidR="00CA0289" w:rsidRDefault="00CA0289" w:rsidP="00CA0289">
      <w:pPr>
        <w:rPr>
          <w:rFonts w:ascii="Times New Roman" w:hAnsi="Times New Roman"/>
        </w:rPr>
      </w:pPr>
      <w:r>
        <w:rPr>
          <w:rFonts w:ascii="Times New Roman" w:hAnsi="Times New Roman"/>
        </w:rPr>
        <w:t>Table 6. Level 5 and Level 6 Students’ GW grades</w:t>
      </w:r>
      <w:r w:rsidRPr="009C4A98">
        <w:rPr>
          <w:rFonts w:ascii="Times New Roman" w:hAnsi="Times New Roman"/>
        </w:rPr>
        <w:t xml:space="preserve"> </w:t>
      </w:r>
      <w:r>
        <w:rPr>
          <w:rFonts w:ascii="Times New Roman" w:hAnsi="Times New Roman"/>
        </w:rPr>
        <w:t>and academic work</w:t>
      </w:r>
    </w:p>
    <w:tbl>
      <w:tblPr>
        <w:tblStyle w:val="TableGrid"/>
        <w:tblW w:w="0" w:type="auto"/>
        <w:tblInd w:w="108" w:type="dxa"/>
        <w:tblLook w:val="04A0" w:firstRow="1" w:lastRow="0" w:firstColumn="1" w:lastColumn="0" w:noHBand="0" w:noVBand="1"/>
      </w:tblPr>
      <w:tblGrid>
        <w:gridCol w:w="1428"/>
        <w:gridCol w:w="1536"/>
        <w:gridCol w:w="1536"/>
        <w:gridCol w:w="1536"/>
        <w:gridCol w:w="1958"/>
      </w:tblGrid>
      <w:tr w:rsidR="00CA0289" w:rsidRPr="004E4887" w14:paraId="6177106A" w14:textId="77777777" w:rsidTr="00CA0289">
        <w:trPr>
          <w:trHeight w:val="319"/>
        </w:trPr>
        <w:tc>
          <w:tcPr>
            <w:tcW w:w="1428" w:type="dxa"/>
            <w:noWrap/>
            <w:hideMark/>
          </w:tcPr>
          <w:p w14:paraId="04E0E6C0" w14:textId="77777777" w:rsidR="00CA0289" w:rsidRPr="004E4887" w:rsidRDefault="00CA0289" w:rsidP="00CA0289">
            <w:pPr>
              <w:rPr>
                <w:rFonts w:ascii="Times New Roman" w:hAnsi="Times New Roman"/>
              </w:rPr>
            </w:pPr>
            <w:r>
              <w:rPr>
                <w:rFonts w:ascii="Times New Roman" w:hAnsi="Times New Roman"/>
              </w:rPr>
              <w:t>GW grades</w:t>
            </w:r>
          </w:p>
        </w:tc>
        <w:tc>
          <w:tcPr>
            <w:tcW w:w="1536" w:type="dxa"/>
            <w:noWrap/>
            <w:hideMark/>
          </w:tcPr>
          <w:p w14:paraId="4300F94A" w14:textId="77777777" w:rsidR="00CA0289" w:rsidRPr="004E4887" w:rsidRDefault="00CA0289" w:rsidP="00CA0289">
            <w:pPr>
              <w:rPr>
                <w:rFonts w:ascii="Times New Roman" w:hAnsi="Times New Roman"/>
              </w:rPr>
            </w:pPr>
            <w:r>
              <w:rPr>
                <w:rFonts w:ascii="Times New Roman" w:hAnsi="Times New Roman"/>
              </w:rPr>
              <w:t>GW levels</w:t>
            </w:r>
          </w:p>
        </w:tc>
        <w:tc>
          <w:tcPr>
            <w:tcW w:w="1536" w:type="dxa"/>
            <w:noWrap/>
            <w:hideMark/>
          </w:tcPr>
          <w:p w14:paraId="176865CD" w14:textId="77777777" w:rsidR="00CA0289" w:rsidRPr="004E4887" w:rsidRDefault="00CA0289" w:rsidP="00CA0289">
            <w:pPr>
              <w:rPr>
                <w:rFonts w:ascii="Times New Roman" w:hAnsi="Times New Roman"/>
              </w:rPr>
            </w:pPr>
            <w:r w:rsidRPr="004E4887">
              <w:rPr>
                <w:rFonts w:ascii="Times New Roman" w:hAnsi="Times New Roman"/>
              </w:rPr>
              <w:t>GPA</w:t>
            </w:r>
          </w:p>
        </w:tc>
        <w:tc>
          <w:tcPr>
            <w:tcW w:w="1536" w:type="dxa"/>
            <w:noWrap/>
            <w:hideMark/>
          </w:tcPr>
          <w:p w14:paraId="1B161BC1" w14:textId="77777777" w:rsidR="00CA0289" w:rsidRPr="004E4887" w:rsidRDefault="00CA0289" w:rsidP="00CA0289">
            <w:pPr>
              <w:rPr>
                <w:rFonts w:ascii="Times New Roman" w:hAnsi="Times New Roman"/>
              </w:rPr>
            </w:pPr>
            <w:r w:rsidRPr="004E4887">
              <w:rPr>
                <w:rFonts w:ascii="Times New Roman" w:hAnsi="Times New Roman"/>
              </w:rPr>
              <w:t>English 101</w:t>
            </w:r>
          </w:p>
        </w:tc>
        <w:tc>
          <w:tcPr>
            <w:tcW w:w="1958" w:type="dxa"/>
            <w:noWrap/>
            <w:hideMark/>
          </w:tcPr>
          <w:p w14:paraId="3A336A05" w14:textId="77777777" w:rsidR="00CA0289" w:rsidRPr="004E4887" w:rsidRDefault="00CA0289" w:rsidP="00CA0289">
            <w:pPr>
              <w:rPr>
                <w:rFonts w:ascii="Times New Roman" w:hAnsi="Times New Roman"/>
              </w:rPr>
            </w:pPr>
            <w:r w:rsidRPr="004E4887">
              <w:rPr>
                <w:rFonts w:ascii="Times New Roman" w:hAnsi="Times New Roman"/>
              </w:rPr>
              <w:t>English 102</w:t>
            </w:r>
          </w:p>
        </w:tc>
      </w:tr>
      <w:tr w:rsidR="00CA0289" w:rsidRPr="004E4887" w14:paraId="170CA47C" w14:textId="77777777" w:rsidTr="00CA0289">
        <w:trPr>
          <w:trHeight w:val="319"/>
        </w:trPr>
        <w:tc>
          <w:tcPr>
            <w:tcW w:w="1428" w:type="dxa"/>
            <w:vMerge w:val="restart"/>
            <w:noWrap/>
            <w:hideMark/>
          </w:tcPr>
          <w:p w14:paraId="2FBDA11A" w14:textId="741B8693" w:rsidR="00CA0289" w:rsidRPr="004E4887" w:rsidRDefault="00E45FB0" w:rsidP="00CA0289">
            <w:pPr>
              <w:rPr>
                <w:rFonts w:ascii="Times New Roman" w:hAnsi="Times New Roman"/>
              </w:rPr>
            </w:pPr>
            <w:r>
              <w:rPr>
                <w:rFonts w:ascii="Times New Roman" w:hAnsi="Times New Roman"/>
              </w:rPr>
              <w:t>A</w:t>
            </w:r>
          </w:p>
        </w:tc>
        <w:tc>
          <w:tcPr>
            <w:tcW w:w="1536" w:type="dxa"/>
            <w:noWrap/>
            <w:hideMark/>
          </w:tcPr>
          <w:p w14:paraId="18DA402F" w14:textId="77777777" w:rsidR="00CA0289" w:rsidRPr="004E4887" w:rsidRDefault="00CA0289" w:rsidP="00CA0289">
            <w:pPr>
              <w:rPr>
                <w:rFonts w:ascii="Times New Roman" w:hAnsi="Times New Roman"/>
              </w:rPr>
            </w:pPr>
            <w:r w:rsidRPr="004E4887">
              <w:rPr>
                <w:rFonts w:ascii="Times New Roman" w:hAnsi="Times New Roman"/>
              </w:rPr>
              <w:t>5</w:t>
            </w:r>
          </w:p>
        </w:tc>
        <w:tc>
          <w:tcPr>
            <w:tcW w:w="1536" w:type="dxa"/>
            <w:noWrap/>
            <w:hideMark/>
          </w:tcPr>
          <w:p w14:paraId="07DD0778" w14:textId="77777777" w:rsidR="00CA0289" w:rsidRPr="004E4887" w:rsidRDefault="00CA0289" w:rsidP="00CA0289">
            <w:pPr>
              <w:rPr>
                <w:rFonts w:ascii="Times New Roman" w:hAnsi="Times New Roman"/>
              </w:rPr>
            </w:pPr>
            <w:r w:rsidRPr="004E4887">
              <w:rPr>
                <w:rFonts w:ascii="Times New Roman" w:hAnsi="Times New Roman"/>
              </w:rPr>
              <w:t>3.76</w:t>
            </w:r>
          </w:p>
        </w:tc>
        <w:tc>
          <w:tcPr>
            <w:tcW w:w="1536" w:type="dxa"/>
            <w:noWrap/>
            <w:hideMark/>
          </w:tcPr>
          <w:p w14:paraId="45744981" w14:textId="77777777" w:rsidR="00CA0289" w:rsidRPr="00520C80" w:rsidRDefault="00CA0289" w:rsidP="00CA0289">
            <w:pPr>
              <w:rPr>
                <w:rFonts w:ascii="Times New Roman" w:hAnsi="Times New Roman"/>
                <w:highlight w:val="yellow"/>
              </w:rPr>
            </w:pPr>
            <w:r w:rsidRPr="00520C80">
              <w:rPr>
                <w:rFonts w:ascii="Times New Roman" w:hAnsi="Times New Roman"/>
                <w:highlight w:val="yellow"/>
              </w:rPr>
              <w:t>3</w:t>
            </w:r>
          </w:p>
        </w:tc>
        <w:tc>
          <w:tcPr>
            <w:tcW w:w="1958" w:type="dxa"/>
            <w:noWrap/>
            <w:hideMark/>
          </w:tcPr>
          <w:p w14:paraId="1934BB93" w14:textId="77777777" w:rsidR="00CA0289" w:rsidRPr="004E4887" w:rsidRDefault="00CA0289" w:rsidP="00CA0289">
            <w:pPr>
              <w:rPr>
                <w:rFonts w:ascii="Times New Roman" w:hAnsi="Times New Roman"/>
              </w:rPr>
            </w:pPr>
            <w:r w:rsidRPr="004E4887">
              <w:rPr>
                <w:rFonts w:ascii="Times New Roman" w:hAnsi="Times New Roman"/>
              </w:rPr>
              <w:t>4</w:t>
            </w:r>
          </w:p>
        </w:tc>
      </w:tr>
      <w:tr w:rsidR="00CA0289" w:rsidRPr="004E4887" w14:paraId="26256440" w14:textId="77777777" w:rsidTr="00E45FB0">
        <w:trPr>
          <w:trHeight w:val="386"/>
        </w:trPr>
        <w:tc>
          <w:tcPr>
            <w:tcW w:w="1428" w:type="dxa"/>
            <w:vMerge/>
            <w:hideMark/>
          </w:tcPr>
          <w:p w14:paraId="5B0EF7B8" w14:textId="77777777" w:rsidR="00CA0289" w:rsidRPr="004E4887" w:rsidRDefault="00CA0289" w:rsidP="00CA0289">
            <w:pPr>
              <w:rPr>
                <w:rFonts w:ascii="Times New Roman" w:hAnsi="Times New Roman"/>
              </w:rPr>
            </w:pPr>
          </w:p>
        </w:tc>
        <w:tc>
          <w:tcPr>
            <w:tcW w:w="1536" w:type="dxa"/>
            <w:noWrap/>
            <w:hideMark/>
          </w:tcPr>
          <w:p w14:paraId="68424367" w14:textId="77777777" w:rsidR="00CA0289" w:rsidRPr="004E4887" w:rsidRDefault="00CA0289" w:rsidP="00CA0289">
            <w:pPr>
              <w:rPr>
                <w:rFonts w:ascii="Times New Roman" w:hAnsi="Times New Roman"/>
              </w:rPr>
            </w:pPr>
            <w:r w:rsidRPr="004E4887">
              <w:rPr>
                <w:rFonts w:ascii="Times New Roman" w:hAnsi="Times New Roman"/>
              </w:rPr>
              <w:t>6</w:t>
            </w:r>
          </w:p>
        </w:tc>
        <w:tc>
          <w:tcPr>
            <w:tcW w:w="1536" w:type="dxa"/>
            <w:noWrap/>
            <w:hideMark/>
          </w:tcPr>
          <w:p w14:paraId="5120C665" w14:textId="77777777" w:rsidR="00CA0289" w:rsidRPr="004E4887" w:rsidRDefault="00CA0289" w:rsidP="00CA0289">
            <w:pPr>
              <w:rPr>
                <w:rFonts w:ascii="Times New Roman" w:hAnsi="Times New Roman"/>
              </w:rPr>
            </w:pPr>
            <w:r w:rsidRPr="004E4887">
              <w:rPr>
                <w:rFonts w:ascii="Times New Roman" w:hAnsi="Times New Roman"/>
              </w:rPr>
              <w:t>3.71</w:t>
            </w:r>
          </w:p>
        </w:tc>
        <w:tc>
          <w:tcPr>
            <w:tcW w:w="1536" w:type="dxa"/>
            <w:noWrap/>
            <w:hideMark/>
          </w:tcPr>
          <w:p w14:paraId="7167F3D2" w14:textId="77777777" w:rsidR="00CA0289" w:rsidRPr="00520C80" w:rsidRDefault="00CA0289" w:rsidP="00CA0289">
            <w:pPr>
              <w:rPr>
                <w:rFonts w:ascii="Times New Roman" w:hAnsi="Times New Roman"/>
                <w:highlight w:val="yellow"/>
              </w:rPr>
            </w:pPr>
            <w:r w:rsidRPr="00520C80">
              <w:rPr>
                <w:rFonts w:ascii="Times New Roman" w:hAnsi="Times New Roman"/>
                <w:highlight w:val="yellow"/>
              </w:rPr>
              <w:t>3.69</w:t>
            </w:r>
          </w:p>
        </w:tc>
        <w:tc>
          <w:tcPr>
            <w:tcW w:w="1958" w:type="dxa"/>
            <w:noWrap/>
            <w:hideMark/>
          </w:tcPr>
          <w:p w14:paraId="3C01A50B" w14:textId="77777777" w:rsidR="00CA0289" w:rsidRPr="004E4887" w:rsidRDefault="00CA0289" w:rsidP="00CA0289">
            <w:pPr>
              <w:rPr>
                <w:rFonts w:ascii="Times New Roman" w:hAnsi="Times New Roman"/>
              </w:rPr>
            </w:pPr>
            <w:r w:rsidRPr="004E4887">
              <w:rPr>
                <w:rFonts w:ascii="Times New Roman" w:hAnsi="Times New Roman"/>
              </w:rPr>
              <w:t>4</w:t>
            </w:r>
          </w:p>
        </w:tc>
      </w:tr>
      <w:tr w:rsidR="00CA0289" w:rsidRPr="004E4887" w14:paraId="32B8D332" w14:textId="77777777" w:rsidTr="00CA0289">
        <w:trPr>
          <w:trHeight w:val="279"/>
        </w:trPr>
        <w:tc>
          <w:tcPr>
            <w:tcW w:w="1428" w:type="dxa"/>
            <w:vMerge w:val="restart"/>
            <w:noWrap/>
            <w:hideMark/>
          </w:tcPr>
          <w:p w14:paraId="0383A925" w14:textId="1B361DE4" w:rsidR="00CA0289" w:rsidRPr="004E4887" w:rsidRDefault="00E45FB0" w:rsidP="00CA0289">
            <w:pPr>
              <w:rPr>
                <w:rFonts w:ascii="Times New Roman" w:hAnsi="Times New Roman"/>
              </w:rPr>
            </w:pPr>
            <w:r>
              <w:rPr>
                <w:rFonts w:ascii="Times New Roman" w:hAnsi="Times New Roman"/>
              </w:rPr>
              <w:t>B</w:t>
            </w:r>
          </w:p>
        </w:tc>
        <w:tc>
          <w:tcPr>
            <w:tcW w:w="1536" w:type="dxa"/>
            <w:noWrap/>
            <w:hideMark/>
          </w:tcPr>
          <w:p w14:paraId="6CFCA543" w14:textId="77777777" w:rsidR="00CA0289" w:rsidRPr="004E4887" w:rsidRDefault="00CA0289" w:rsidP="00CA0289">
            <w:pPr>
              <w:rPr>
                <w:rFonts w:ascii="Times New Roman" w:hAnsi="Times New Roman"/>
              </w:rPr>
            </w:pPr>
            <w:r w:rsidRPr="004E4887">
              <w:rPr>
                <w:rFonts w:ascii="Times New Roman" w:hAnsi="Times New Roman"/>
              </w:rPr>
              <w:t>5</w:t>
            </w:r>
          </w:p>
        </w:tc>
        <w:tc>
          <w:tcPr>
            <w:tcW w:w="1536" w:type="dxa"/>
            <w:noWrap/>
            <w:hideMark/>
          </w:tcPr>
          <w:p w14:paraId="335CFDB7" w14:textId="77777777" w:rsidR="00CA0289" w:rsidRPr="004E4887" w:rsidRDefault="00CA0289" w:rsidP="00CA0289">
            <w:pPr>
              <w:rPr>
                <w:rFonts w:ascii="Times New Roman" w:hAnsi="Times New Roman"/>
              </w:rPr>
            </w:pPr>
            <w:r w:rsidRPr="004E4887">
              <w:rPr>
                <w:rFonts w:ascii="Times New Roman" w:hAnsi="Times New Roman"/>
              </w:rPr>
              <w:t>3.36</w:t>
            </w:r>
          </w:p>
        </w:tc>
        <w:tc>
          <w:tcPr>
            <w:tcW w:w="1536" w:type="dxa"/>
            <w:noWrap/>
            <w:hideMark/>
          </w:tcPr>
          <w:p w14:paraId="117E316C" w14:textId="77777777" w:rsidR="00CA0289" w:rsidRPr="004E4887" w:rsidRDefault="00CA0289" w:rsidP="00CA0289">
            <w:pPr>
              <w:rPr>
                <w:rFonts w:ascii="Times New Roman" w:hAnsi="Times New Roman"/>
                <w:highlight w:val="yellow"/>
              </w:rPr>
            </w:pPr>
            <w:r w:rsidRPr="004E4887">
              <w:rPr>
                <w:rFonts w:ascii="Times New Roman" w:hAnsi="Times New Roman"/>
                <w:highlight w:val="yellow"/>
              </w:rPr>
              <w:t>2.88</w:t>
            </w:r>
          </w:p>
        </w:tc>
        <w:tc>
          <w:tcPr>
            <w:tcW w:w="1958" w:type="dxa"/>
            <w:noWrap/>
            <w:hideMark/>
          </w:tcPr>
          <w:p w14:paraId="313AAAD7" w14:textId="77777777" w:rsidR="00CA0289" w:rsidRPr="004E4887" w:rsidRDefault="00CA0289" w:rsidP="00CA0289">
            <w:pPr>
              <w:rPr>
                <w:rFonts w:ascii="Times New Roman" w:hAnsi="Times New Roman"/>
              </w:rPr>
            </w:pPr>
            <w:r w:rsidRPr="004E4887">
              <w:rPr>
                <w:rFonts w:ascii="Times New Roman" w:hAnsi="Times New Roman"/>
              </w:rPr>
              <w:t>3.73</w:t>
            </w:r>
          </w:p>
        </w:tc>
      </w:tr>
      <w:tr w:rsidR="00CA0289" w:rsidRPr="004E4887" w14:paraId="754B2989" w14:textId="77777777" w:rsidTr="00CA0289">
        <w:trPr>
          <w:trHeight w:val="279"/>
        </w:trPr>
        <w:tc>
          <w:tcPr>
            <w:tcW w:w="1428" w:type="dxa"/>
            <w:vMerge/>
            <w:hideMark/>
          </w:tcPr>
          <w:p w14:paraId="778AFDE0" w14:textId="77777777" w:rsidR="00CA0289" w:rsidRPr="004E4887" w:rsidRDefault="00CA0289" w:rsidP="00CA0289">
            <w:pPr>
              <w:rPr>
                <w:rFonts w:ascii="Times New Roman" w:hAnsi="Times New Roman"/>
              </w:rPr>
            </w:pPr>
          </w:p>
        </w:tc>
        <w:tc>
          <w:tcPr>
            <w:tcW w:w="1536" w:type="dxa"/>
            <w:noWrap/>
            <w:hideMark/>
          </w:tcPr>
          <w:p w14:paraId="2A3A7CFA" w14:textId="77777777" w:rsidR="00CA0289" w:rsidRPr="004E4887" w:rsidRDefault="00CA0289" w:rsidP="00CA0289">
            <w:pPr>
              <w:rPr>
                <w:rFonts w:ascii="Times New Roman" w:hAnsi="Times New Roman"/>
              </w:rPr>
            </w:pPr>
            <w:r w:rsidRPr="004E4887">
              <w:rPr>
                <w:rFonts w:ascii="Times New Roman" w:hAnsi="Times New Roman"/>
              </w:rPr>
              <w:t>6</w:t>
            </w:r>
          </w:p>
        </w:tc>
        <w:tc>
          <w:tcPr>
            <w:tcW w:w="1536" w:type="dxa"/>
            <w:noWrap/>
            <w:hideMark/>
          </w:tcPr>
          <w:p w14:paraId="20D94D60" w14:textId="77777777" w:rsidR="00CA0289" w:rsidRPr="004E4887" w:rsidRDefault="00CA0289" w:rsidP="00CA0289">
            <w:pPr>
              <w:rPr>
                <w:rFonts w:ascii="Times New Roman" w:hAnsi="Times New Roman"/>
              </w:rPr>
            </w:pPr>
            <w:r w:rsidRPr="004E4887">
              <w:rPr>
                <w:rFonts w:ascii="Times New Roman" w:hAnsi="Times New Roman"/>
              </w:rPr>
              <w:t>3.38</w:t>
            </w:r>
          </w:p>
        </w:tc>
        <w:tc>
          <w:tcPr>
            <w:tcW w:w="1536" w:type="dxa"/>
            <w:noWrap/>
            <w:hideMark/>
          </w:tcPr>
          <w:p w14:paraId="4B7A2B73" w14:textId="77777777" w:rsidR="00CA0289" w:rsidRPr="004E4887" w:rsidRDefault="00CA0289" w:rsidP="00CA0289">
            <w:pPr>
              <w:rPr>
                <w:rFonts w:ascii="Times New Roman" w:hAnsi="Times New Roman"/>
                <w:highlight w:val="yellow"/>
              </w:rPr>
            </w:pPr>
            <w:r w:rsidRPr="004E4887">
              <w:rPr>
                <w:rFonts w:ascii="Times New Roman" w:hAnsi="Times New Roman"/>
                <w:highlight w:val="yellow"/>
              </w:rPr>
              <w:t>3.39</w:t>
            </w:r>
          </w:p>
        </w:tc>
        <w:tc>
          <w:tcPr>
            <w:tcW w:w="1958" w:type="dxa"/>
            <w:noWrap/>
            <w:hideMark/>
          </w:tcPr>
          <w:p w14:paraId="28E1B0DF" w14:textId="77777777" w:rsidR="00CA0289" w:rsidRPr="004E4887" w:rsidRDefault="00CA0289" w:rsidP="00CA0289">
            <w:pPr>
              <w:rPr>
                <w:rFonts w:ascii="Times New Roman" w:hAnsi="Times New Roman"/>
              </w:rPr>
            </w:pPr>
            <w:r w:rsidRPr="004E4887">
              <w:rPr>
                <w:rFonts w:ascii="Times New Roman" w:hAnsi="Times New Roman"/>
              </w:rPr>
              <w:t>3.58</w:t>
            </w:r>
          </w:p>
        </w:tc>
      </w:tr>
      <w:tr w:rsidR="00CA0289" w:rsidRPr="004E4887" w14:paraId="55C1D194" w14:textId="77777777" w:rsidTr="00CA0289">
        <w:trPr>
          <w:trHeight w:val="279"/>
        </w:trPr>
        <w:tc>
          <w:tcPr>
            <w:tcW w:w="1428" w:type="dxa"/>
            <w:vMerge w:val="restart"/>
            <w:noWrap/>
            <w:hideMark/>
          </w:tcPr>
          <w:p w14:paraId="5F855465" w14:textId="631B96F7" w:rsidR="00CA0289" w:rsidRPr="004E4887" w:rsidRDefault="00E45FB0" w:rsidP="00CA0289">
            <w:pPr>
              <w:rPr>
                <w:rFonts w:ascii="Times New Roman" w:hAnsi="Times New Roman"/>
              </w:rPr>
            </w:pPr>
            <w:r>
              <w:rPr>
                <w:rFonts w:ascii="Times New Roman" w:hAnsi="Times New Roman"/>
              </w:rPr>
              <w:t>C</w:t>
            </w:r>
          </w:p>
        </w:tc>
        <w:tc>
          <w:tcPr>
            <w:tcW w:w="1536" w:type="dxa"/>
            <w:noWrap/>
            <w:hideMark/>
          </w:tcPr>
          <w:p w14:paraId="190388A0" w14:textId="77777777" w:rsidR="00CA0289" w:rsidRPr="004E4887" w:rsidRDefault="00CA0289" w:rsidP="00CA0289">
            <w:pPr>
              <w:rPr>
                <w:rFonts w:ascii="Times New Roman" w:hAnsi="Times New Roman"/>
              </w:rPr>
            </w:pPr>
            <w:r w:rsidRPr="004E4887">
              <w:rPr>
                <w:rFonts w:ascii="Times New Roman" w:hAnsi="Times New Roman"/>
              </w:rPr>
              <w:t>5</w:t>
            </w:r>
          </w:p>
        </w:tc>
        <w:tc>
          <w:tcPr>
            <w:tcW w:w="1536" w:type="dxa"/>
            <w:noWrap/>
            <w:hideMark/>
          </w:tcPr>
          <w:p w14:paraId="379D251D" w14:textId="77777777" w:rsidR="00CA0289" w:rsidRPr="004E4887" w:rsidRDefault="00CA0289" w:rsidP="00CA0289">
            <w:pPr>
              <w:rPr>
                <w:rFonts w:ascii="Times New Roman" w:hAnsi="Times New Roman"/>
              </w:rPr>
            </w:pPr>
            <w:r w:rsidRPr="004E4887">
              <w:rPr>
                <w:rFonts w:ascii="Times New Roman" w:hAnsi="Times New Roman"/>
              </w:rPr>
              <w:t>3.34</w:t>
            </w:r>
          </w:p>
        </w:tc>
        <w:tc>
          <w:tcPr>
            <w:tcW w:w="1536" w:type="dxa"/>
            <w:noWrap/>
            <w:hideMark/>
          </w:tcPr>
          <w:p w14:paraId="22A58BD9" w14:textId="77777777" w:rsidR="00CA0289" w:rsidRPr="004E4887" w:rsidRDefault="00CA0289" w:rsidP="00CA0289">
            <w:pPr>
              <w:rPr>
                <w:rFonts w:ascii="Times New Roman" w:hAnsi="Times New Roman"/>
                <w:highlight w:val="yellow"/>
              </w:rPr>
            </w:pPr>
            <w:r w:rsidRPr="004E4887">
              <w:rPr>
                <w:rFonts w:ascii="Times New Roman" w:hAnsi="Times New Roman"/>
                <w:highlight w:val="yellow"/>
              </w:rPr>
              <w:t>2.67</w:t>
            </w:r>
          </w:p>
        </w:tc>
        <w:tc>
          <w:tcPr>
            <w:tcW w:w="1958" w:type="dxa"/>
            <w:noWrap/>
            <w:hideMark/>
          </w:tcPr>
          <w:p w14:paraId="43F2D428" w14:textId="77777777" w:rsidR="00CA0289" w:rsidRPr="004E4887" w:rsidRDefault="00CA0289" w:rsidP="00CA0289">
            <w:pPr>
              <w:rPr>
                <w:rFonts w:ascii="Times New Roman" w:hAnsi="Times New Roman"/>
              </w:rPr>
            </w:pPr>
            <w:r w:rsidRPr="004E4887">
              <w:rPr>
                <w:rFonts w:ascii="Times New Roman" w:hAnsi="Times New Roman"/>
              </w:rPr>
              <w:t>2.5</w:t>
            </w:r>
          </w:p>
        </w:tc>
      </w:tr>
      <w:tr w:rsidR="00CA0289" w:rsidRPr="004E4887" w14:paraId="047DA749" w14:textId="77777777" w:rsidTr="00CA0289">
        <w:trPr>
          <w:trHeight w:val="279"/>
        </w:trPr>
        <w:tc>
          <w:tcPr>
            <w:tcW w:w="1428" w:type="dxa"/>
            <w:vMerge/>
            <w:hideMark/>
          </w:tcPr>
          <w:p w14:paraId="07920CCF" w14:textId="77777777" w:rsidR="00CA0289" w:rsidRPr="004E4887" w:rsidRDefault="00CA0289" w:rsidP="00CA0289">
            <w:pPr>
              <w:rPr>
                <w:rFonts w:ascii="Times New Roman" w:hAnsi="Times New Roman"/>
              </w:rPr>
            </w:pPr>
          </w:p>
        </w:tc>
        <w:tc>
          <w:tcPr>
            <w:tcW w:w="1536" w:type="dxa"/>
            <w:noWrap/>
            <w:hideMark/>
          </w:tcPr>
          <w:p w14:paraId="09022636" w14:textId="77777777" w:rsidR="00CA0289" w:rsidRPr="004E4887" w:rsidRDefault="00CA0289" w:rsidP="00CA0289">
            <w:pPr>
              <w:rPr>
                <w:rFonts w:ascii="Times New Roman" w:hAnsi="Times New Roman"/>
              </w:rPr>
            </w:pPr>
            <w:r w:rsidRPr="004E4887">
              <w:rPr>
                <w:rFonts w:ascii="Times New Roman" w:hAnsi="Times New Roman"/>
              </w:rPr>
              <w:t>6</w:t>
            </w:r>
          </w:p>
        </w:tc>
        <w:tc>
          <w:tcPr>
            <w:tcW w:w="1536" w:type="dxa"/>
            <w:noWrap/>
            <w:hideMark/>
          </w:tcPr>
          <w:p w14:paraId="3280A442" w14:textId="77777777" w:rsidR="00CA0289" w:rsidRPr="004E4887" w:rsidRDefault="00CA0289" w:rsidP="00CA0289">
            <w:pPr>
              <w:rPr>
                <w:rFonts w:ascii="Times New Roman" w:hAnsi="Times New Roman"/>
              </w:rPr>
            </w:pPr>
            <w:r w:rsidRPr="004E4887">
              <w:rPr>
                <w:rFonts w:ascii="Times New Roman" w:hAnsi="Times New Roman"/>
              </w:rPr>
              <w:t>3.16</w:t>
            </w:r>
          </w:p>
        </w:tc>
        <w:tc>
          <w:tcPr>
            <w:tcW w:w="1536" w:type="dxa"/>
            <w:noWrap/>
            <w:hideMark/>
          </w:tcPr>
          <w:p w14:paraId="0C2A4C20" w14:textId="77777777" w:rsidR="00CA0289" w:rsidRPr="004E4887" w:rsidRDefault="00CA0289" w:rsidP="00CA0289">
            <w:pPr>
              <w:rPr>
                <w:rFonts w:ascii="Times New Roman" w:hAnsi="Times New Roman"/>
                <w:highlight w:val="yellow"/>
              </w:rPr>
            </w:pPr>
            <w:r w:rsidRPr="004E4887">
              <w:rPr>
                <w:rFonts w:ascii="Times New Roman" w:hAnsi="Times New Roman"/>
                <w:highlight w:val="yellow"/>
              </w:rPr>
              <w:t>3.14</w:t>
            </w:r>
          </w:p>
        </w:tc>
        <w:tc>
          <w:tcPr>
            <w:tcW w:w="1958" w:type="dxa"/>
            <w:noWrap/>
            <w:hideMark/>
          </w:tcPr>
          <w:p w14:paraId="4DB71A6D" w14:textId="77777777" w:rsidR="00CA0289" w:rsidRPr="004E4887" w:rsidRDefault="00CA0289" w:rsidP="00CA0289">
            <w:pPr>
              <w:rPr>
                <w:rFonts w:ascii="Times New Roman" w:hAnsi="Times New Roman"/>
              </w:rPr>
            </w:pPr>
            <w:r w:rsidRPr="004E4887">
              <w:rPr>
                <w:rFonts w:ascii="Times New Roman" w:hAnsi="Times New Roman"/>
              </w:rPr>
              <w:t>2.68</w:t>
            </w:r>
          </w:p>
        </w:tc>
      </w:tr>
      <w:tr w:rsidR="00CA0289" w:rsidRPr="004E4887" w14:paraId="4EC5583B" w14:textId="77777777" w:rsidTr="00CA0289">
        <w:trPr>
          <w:trHeight w:val="279"/>
        </w:trPr>
        <w:tc>
          <w:tcPr>
            <w:tcW w:w="1428" w:type="dxa"/>
            <w:vMerge w:val="restart"/>
            <w:noWrap/>
            <w:hideMark/>
          </w:tcPr>
          <w:p w14:paraId="63874D45" w14:textId="7CF31082" w:rsidR="00CA0289" w:rsidRPr="004E4887" w:rsidRDefault="00E45FB0" w:rsidP="00CA0289">
            <w:pPr>
              <w:rPr>
                <w:rFonts w:ascii="Times New Roman" w:hAnsi="Times New Roman"/>
              </w:rPr>
            </w:pPr>
            <w:r>
              <w:rPr>
                <w:rFonts w:ascii="Times New Roman" w:hAnsi="Times New Roman"/>
              </w:rPr>
              <w:t>D-F</w:t>
            </w:r>
          </w:p>
        </w:tc>
        <w:tc>
          <w:tcPr>
            <w:tcW w:w="1536" w:type="dxa"/>
            <w:noWrap/>
            <w:hideMark/>
          </w:tcPr>
          <w:p w14:paraId="58AC4148" w14:textId="77777777" w:rsidR="00CA0289" w:rsidRPr="004E4887" w:rsidRDefault="00CA0289" w:rsidP="00CA0289">
            <w:pPr>
              <w:rPr>
                <w:rFonts w:ascii="Times New Roman" w:hAnsi="Times New Roman"/>
              </w:rPr>
            </w:pPr>
            <w:r w:rsidRPr="004E4887">
              <w:rPr>
                <w:rFonts w:ascii="Times New Roman" w:hAnsi="Times New Roman"/>
              </w:rPr>
              <w:t>5</w:t>
            </w:r>
          </w:p>
        </w:tc>
        <w:tc>
          <w:tcPr>
            <w:tcW w:w="1536" w:type="dxa"/>
            <w:noWrap/>
            <w:hideMark/>
          </w:tcPr>
          <w:p w14:paraId="6351529A" w14:textId="77777777" w:rsidR="00CA0289" w:rsidRPr="004E4887" w:rsidRDefault="00CA0289" w:rsidP="00CA0289">
            <w:pPr>
              <w:rPr>
                <w:rFonts w:ascii="Times New Roman" w:hAnsi="Times New Roman"/>
              </w:rPr>
            </w:pPr>
            <w:r w:rsidRPr="004E4887">
              <w:rPr>
                <w:rFonts w:ascii="Times New Roman" w:hAnsi="Times New Roman"/>
              </w:rPr>
              <w:t>2.59</w:t>
            </w:r>
          </w:p>
        </w:tc>
        <w:tc>
          <w:tcPr>
            <w:tcW w:w="1536" w:type="dxa"/>
            <w:noWrap/>
            <w:hideMark/>
          </w:tcPr>
          <w:p w14:paraId="41DAC9EB" w14:textId="77777777" w:rsidR="00CA0289" w:rsidRPr="004E4887" w:rsidRDefault="00CA0289" w:rsidP="00CA0289">
            <w:pPr>
              <w:rPr>
                <w:rFonts w:ascii="Times New Roman" w:hAnsi="Times New Roman"/>
              </w:rPr>
            </w:pPr>
            <w:r w:rsidRPr="004E4887">
              <w:rPr>
                <w:rFonts w:ascii="Times New Roman" w:hAnsi="Times New Roman"/>
              </w:rPr>
              <w:t>3</w:t>
            </w:r>
          </w:p>
        </w:tc>
        <w:tc>
          <w:tcPr>
            <w:tcW w:w="1958" w:type="dxa"/>
            <w:noWrap/>
            <w:hideMark/>
          </w:tcPr>
          <w:p w14:paraId="01810C66" w14:textId="77777777" w:rsidR="00CA0289" w:rsidRPr="004E4887" w:rsidRDefault="00CA0289" w:rsidP="00CA0289">
            <w:pPr>
              <w:rPr>
                <w:rFonts w:ascii="Times New Roman" w:hAnsi="Times New Roman"/>
                <w:highlight w:val="yellow"/>
              </w:rPr>
            </w:pPr>
            <w:r w:rsidRPr="004E4887">
              <w:rPr>
                <w:rFonts w:ascii="Times New Roman" w:hAnsi="Times New Roman"/>
                <w:highlight w:val="yellow"/>
              </w:rPr>
              <w:t>2.75</w:t>
            </w:r>
          </w:p>
        </w:tc>
      </w:tr>
      <w:tr w:rsidR="00CA0289" w:rsidRPr="004E4887" w14:paraId="1D7CE45E" w14:textId="77777777" w:rsidTr="00CA0289">
        <w:trPr>
          <w:trHeight w:val="279"/>
        </w:trPr>
        <w:tc>
          <w:tcPr>
            <w:tcW w:w="1428" w:type="dxa"/>
            <w:vMerge/>
            <w:hideMark/>
          </w:tcPr>
          <w:p w14:paraId="03D6AB9A" w14:textId="77777777" w:rsidR="00CA0289" w:rsidRPr="004E4887" w:rsidRDefault="00CA0289" w:rsidP="00CA0289">
            <w:pPr>
              <w:rPr>
                <w:rFonts w:ascii="Times New Roman" w:hAnsi="Times New Roman"/>
              </w:rPr>
            </w:pPr>
          </w:p>
        </w:tc>
        <w:tc>
          <w:tcPr>
            <w:tcW w:w="1536" w:type="dxa"/>
            <w:noWrap/>
            <w:hideMark/>
          </w:tcPr>
          <w:p w14:paraId="5D81DB8E" w14:textId="77777777" w:rsidR="00CA0289" w:rsidRPr="004E4887" w:rsidRDefault="00CA0289" w:rsidP="00CA0289">
            <w:pPr>
              <w:rPr>
                <w:rFonts w:ascii="Times New Roman" w:hAnsi="Times New Roman"/>
              </w:rPr>
            </w:pPr>
            <w:r w:rsidRPr="004E4887">
              <w:rPr>
                <w:rFonts w:ascii="Times New Roman" w:hAnsi="Times New Roman"/>
              </w:rPr>
              <w:t>6</w:t>
            </w:r>
          </w:p>
        </w:tc>
        <w:tc>
          <w:tcPr>
            <w:tcW w:w="1536" w:type="dxa"/>
            <w:noWrap/>
            <w:hideMark/>
          </w:tcPr>
          <w:p w14:paraId="59D0C1A8" w14:textId="77777777" w:rsidR="00CA0289" w:rsidRPr="004E4887" w:rsidRDefault="00CA0289" w:rsidP="00CA0289">
            <w:pPr>
              <w:rPr>
                <w:rFonts w:ascii="Times New Roman" w:hAnsi="Times New Roman"/>
              </w:rPr>
            </w:pPr>
            <w:r w:rsidRPr="004E4887">
              <w:rPr>
                <w:rFonts w:ascii="Times New Roman" w:hAnsi="Times New Roman"/>
              </w:rPr>
              <w:t>2.85</w:t>
            </w:r>
          </w:p>
        </w:tc>
        <w:tc>
          <w:tcPr>
            <w:tcW w:w="1536" w:type="dxa"/>
            <w:noWrap/>
            <w:hideMark/>
          </w:tcPr>
          <w:p w14:paraId="38A23986" w14:textId="77777777" w:rsidR="00CA0289" w:rsidRPr="004E4887" w:rsidRDefault="00CA0289" w:rsidP="00CA0289">
            <w:pPr>
              <w:rPr>
                <w:rFonts w:ascii="Times New Roman" w:hAnsi="Times New Roman"/>
              </w:rPr>
            </w:pPr>
            <w:r w:rsidRPr="004E4887">
              <w:rPr>
                <w:rFonts w:ascii="Times New Roman" w:hAnsi="Times New Roman"/>
              </w:rPr>
              <w:t>2.83</w:t>
            </w:r>
          </w:p>
        </w:tc>
        <w:tc>
          <w:tcPr>
            <w:tcW w:w="1958" w:type="dxa"/>
            <w:noWrap/>
            <w:hideMark/>
          </w:tcPr>
          <w:p w14:paraId="4285AE4F" w14:textId="77777777" w:rsidR="00CA0289" w:rsidRPr="004E4887" w:rsidRDefault="00CA0289" w:rsidP="00CA0289">
            <w:pPr>
              <w:rPr>
                <w:rFonts w:ascii="Times New Roman" w:hAnsi="Times New Roman"/>
                <w:highlight w:val="yellow"/>
              </w:rPr>
            </w:pPr>
            <w:r w:rsidRPr="004E4887">
              <w:rPr>
                <w:rFonts w:ascii="Times New Roman" w:hAnsi="Times New Roman"/>
                <w:highlight w:val="yellow"/>
              </w:rPr>
              <w:t>3.69</w:t>
            </w:r>
          </w:p>
        </w:tc>
      </w:tr>
    </w:tbl>
    <w:p w14:paraId="5B51B18E" w14:textId="77777777" w:rsidR="00CA0289" w:rsidRDefault="00CA0289" w:rsidP="00CA0289">
      <w:pPr>
        <w:rPr>
          <w:rFonts w:ascii="Times New Roman" w:hAnsi="Times New Roman" w:cs="Geneva"/>
          <w:color w:val="000000"/>
        </w:rPr>
      </w:pPr>
    </w:p>
    <w:p w14:paraId="68157265" w14:textId="71103FBC" w:rsidR="00CA0289" w:rsidRDefault="00CA0289" w:rsidP="00CA0289">
      <w:pPr>
        <w:ind w:firstLine="720"/>
        <w:rPr>
          <w:rFonts w:ascii="Times New Roman" w:hAnsi="Times New Roman" w:cs="Geneva"/>
          <w:color w:val="000000"/>
        </w:rPr>
      </w:pPr>
      <w:r>
        <w:rPr>
          <w:rFonts w:ascii="Times New Roman" w:hAnsi="Times New Roman" w:cs="Geneva"/>
          <w:color w:val="000000"/>
        </w:rPr>
        <w:t xml:space="preserve">In contrast to these, as seen in Figure 6, the comparison of the average scores from English 101 between level 5 and level 6 students showed a great difference: level 6 students got a much higher score compared to level 5 students who made the same grade in GW classes, except for the students with </w:t>
      </w:r>
      <w:r w:rsidR="00B653B7">
        <w:rPr>
          <w:rFonts w:ascii="Times New Roman" w:hAnsi="Times New Roman" w:cs="Geneva"/>
          <w:color w:val="000000"/>
        </w:rPr>
        <w:t xml:space="preserve">D-F </w:t>
      </w:r>
      <w:r>
        <w:rPr>
          <w:rFonts w:ascii="Times New Roman" w:hAnsi="Times New Roman" w:cs="Geneva"/>
          <w:color w:val="000000"/>
        </w:rPr>
        <w:t xml:space="preserve">grades. </w:t>
      </w:r>
      <w:r w:rsidRPr="00470568">
        <w:rPr>
          <w:rFonts w:ascii="Times New Roman" w:hAnsi="Times New Roman" w:cs="Geneva"/>
          <w:color w:val="000000"/>
          <w:highlight w:val="yellow"/>
        </w:rPr>
        <w:t>This difference might mean that completing the higher level in EPI GW classes can prepare students for doing better on the tasks assigned to students enrolled in English 101.</w:t>
      </w:r>
      <w:r>
        <w:rPr>
          <w:rFonts w:ascii="Times New Roman" w:hAnsi="Times New Roman" w:cs="Geneva"/>
          <w:color w:val="000000"/>
        </w:rPr>
        <w:t xml:space="preserve"> This interpretation should be supported by the fact that in most of the cases, English 101 is taken in the first few semesters of college, leading to the prediction of a bigger effects on the achievement of the class level that the students had attained before they started college. English 102 is taken some semesters after English 101 is taken, which might reduce the possibility that the grades from </w:t>
      </w:r>
      <w:r w:rsidR="00061E7B">
        <w:rPr>
          <w:rFonts w:ascii="Times New Roman" w:hAnsi="Times New Roman" w:cs="Geneva"/>
          <w:color w:val="000000"/>
        </w:rPr>
        <w:t>those</w:t>
      </w:r>
      <w:r>
        <w:rPr>
          <w:rFonts w:ascii="Times New Roman" w:hAnsi="Times New Roman" w:cs="Geneva"/>
          <w:color w:val="000000"/>
        </w:rPr>
        <w:t xml:space="preserve"> courses are affected by the class level where they were placed </w:t>
      </w:r>
      <w:r w:rsidR="002D7BC4">
        <w:rPr>
          <w:rFonts w:ascii="Times New Roman" w:hAnsi="Times New Roman" w:cs="Geneva"/>
          <w:color w:val="000000"/>
        </w:rPr>
        <w:t>during</w:t>
      </w:r>
      <w:r>
        <w:rPr>
          <w:rFonts w:ascii="Times New Roman" w:hAnsi="Times New Roman" w:cs="Geneva"/>
          <w:color w:val="000000"/>
        </w:rPr>
        <w:t xml:space="preserve"> the</w:t>
      </w:r>
      <w:r w:rsidR="002D7BC4">
        <w:rPr>
          <w:rFonts w:ascii="Times New Roman" w:hAnsi="Times New Roman" w:cs="Geneva"/>
          <w:color w:val="000000"/>
        </w:rPr>
        <w:t>ir</w:t>
      </w:r>
      <w:r>
        <w:rPr>
          <w:rFonts w:ascii="Times New Roman" w:hAnsi="Times New Roman" w:cs="Geneva"/>
          <w:color w:val="000000"/>
        </w:rPr>
        <w:t xml:space="preserve"> last </w:t>
      </w:r>
      <w:r w:rsidR="002D7BC4">
        <w:rPr>
          <w:rFonts w:ascii="Times New Roman" w:hAnsi="Times New Roman" w:cs="Geneva"/>
          <w:color w:val="000000"/>
        </w:rPr>
        <w:t xml:space="preserve">EPI </w:t>
      </w:r>
      <w:r>
        <w:rPr>
          <w:rFonts w:ascii="Times New Roman" w:hAnsi="Times New Roman" w:cs="Geneva"/>
          <w:color w:val="000000"/>
        </w:rPr>
        <w:t>term.</w:t>
      </w:r>
    </w:p>
    <w:p w14:paraId="19D2766B" w14:textId="77777777" w:rsidR="00CA0289" w:rsidRDefault="00CA0289" w:rsidP="00CA0289">
      <w:pPr>
        <w:rPr>
          <w:rFonts w:ascii="Times New Roman" w:hAnsi="Times New Roman"/>
        </w:rPr>
      </w:pPr>
      <w:r>
        <w:rPr>
          <w:rFonts w:ascii="Times New Roman" w:hAnsi="Times New Roman"/>
        </w:rPr>
        <w:t xml:space="preserve">Figure 6. Students’ </w:t>
      </w:r>
      <w:r w:rsidRPr="00DD7A64">
        <w:rPr>
          <w:rFonts w:ascii="Times New Roman" w:hAnsi="Times New Roman"/>
          <w:bCs/>
        </w:rPr>
        <w:t xml:space="preserve">GW levels and </w:t>
      </w:r>
      <w:r>
        <w:rPr>
          <w:rFonts w:ascii="Times New Roman" w:hAnsi="Times New Roman"/>
          <w:bCs/>
        </w:rPr>
        <w:t xml:space="preserve">scores from </w:t>
      </w:r>
      <w:r w:rsidRPr="00DD7A64">
        <w:rPr>
          <w:rFonts w:ascii="Times New Roman" w:hAnsi="Times New Roman"/>
          <w:bCs/>
        </w:rPr>
        <w:t>English 101</w:t>
      </w:r>
    </w:p>
    <w:p w14:paraId="3A15A5A9" w14:textId="77777777" w:rsidR="00CA0289" w:rsidRDefault="00CA0289" w:rsidP="00CA0289">
      <w:pPr>
        <w:rPr>
          <w:rFonts w:ascii="Times New Roman" w:hAnsi="Times New Roman"/>
        </w:rPr>
      </w:pPr>
      <w:r>
        <w:rPr>
          <w:noProof/>
        </w:rPr>
        <w:drawing>
          <wp:inline distT="0" distB="0" distL="0" distR="0" wp14:anchorId="54ADE73E" wp14:editId="2E8D15F5">
            <wp:extent cx="3594735" cy="1945640"/>
            <wp:effectExtent l="0" t="0" r="37465" b="355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77D832" w14:textId="77777777" w:rsidR="008A2583" w:rsidRDefault="008A2583" w:rsidP="00C97598">
      <w:pPr>
        <w:rPr>
          <w:rFonts w:ascii="Times New Roman" w:hAnsi="Times New Roman"/>
          <w:b/>
        </w:rPr>
      </w:pPr>
    </w:p>
    <w:p w14:paraId="34B08A8C" w14:textId="4FE36D63" w:rsidR="007C05E6" w:rsidRDefault="007C05E6" w:rsidP="007C05E6">
      <w:pPr>
        <w:rPr>
          <w:rFonts w:ascii="Times New Roman" w:hAnsi="Times New Roman"/>
        </w:rPr>
      </w:pPr>
      <w:r>
        <w:rPr>
          <w:rFonts w:ascii="Times New Roman" w:hAnsi="Times New Roman"/>
        </w:rPr>
        <w:t>2.2 Former EPI students’ academic work at USC and grade levels in EPI GW classes</w:t>
      </w:r>
    </w:p>
    <w:p w14:paraId="73BFFA24" w14:textId="05156ED0" w:rsidR="007C05E6" w:rsidRDefault="007C05E6" w:rsidP="007C05E6">
      <w:pPr>
        <w:rPr>
          <w:rFonts w:ascii="Times New Roman" w:hAnsi="Times New Roman"/>
        </w:rPr>
      </w:pPr>
      <w:r>
        <w:rPr>
          <w:rFonts w:ascii="Times New Roman" w:hAnsi="Times New Roman"/>
        </w:rPr>
        <w:t xml:space="preserve">2.2.1 Distribution of Former EPI students’ grades at level 5 and 6 </w:t>
      </w:r>
    </w:p>
    <w:p w14:paraId="5DADCEA7" w14:textId="23320E22" w:rsidR="008A2583" w:rsidRPr="00A343C7" w:rsidRDefault="00DA257D" w:rsidP="00C97598">
      <w:pPr>
        <w:rPr>
          <w:rFonts w:ascii="Times New Roman" w:hAnsi="Times New Roman"/>
        </w:rPr>
      </w:pPr>
      <w:r>
        <w:rPr>
          <w:rFonts w:ascii="Times New Roman" w:hAnsi="Times New Roman"/>
        </w:rPr>
        <w:t>The distribution of students’ grade</w:t>
      </w:r>
      <w:r w:rsidR="002E1C75">
        <w:rPr>
          <w:rFonts w:ascii="Times New Roman" w:hAnsi="Times New Roman"/>
        </w:rPr>
        <w:t>s</w:t>
      </w:r>
      <w:r>
        <w:rPr>
          <w:rFonts w:ascii="Times New Roman" w:hAnsi="Times New Roman"/>
        </w:rPr>
        <w:t xml:space="preserve"> at </w:t>
      </w:r>
      <w:r w:rsidR="002E1C75">
        <w:rPr>
          <w:rFonts w:ascii="Times New Roman" w:hAnsi="Times New Roman"/>
        </w:rPr>
        <w:t xml:space="preserve">RV classes was not so different from GW classes. As shown in Table 4 and Figure 4, </w:t>
      </w:r>
      <w:r>
        <w:rPr>
          <w:rFonts w:ascii="Times New Roman" w:hAnsi="Times New Roman"/>
        </w:rPr>
        <w:t xml:space="preserve">all the students attended level 5 and level 6 classes </w:t>
      </w:r>
      <w:r w:rsidR="002E1C75">
        <w:rPr>
          <w:rFonts w:ascii="Times New Roman" w:hAnsi="Times New Roman"/>
        </w:rPr>
        <w:t xml:space="preserve">with an exception of </w:t>
      </w:r>
      <w:r w:rsidR="00575D7C">
        <w:rPr>
          <w:rFonts w:ascii="Times New Roman" w:hAnsi="Times New Roman"/>
        </w:rPr>
        <w:t xml:space="preserve">3 </w:t>
      </w:r>
      <w:r w:rsidR="002E1C75">
        <w:rPr>
          <w:rFonts w:ascii="Times New Roman" w:hAnsi="Times New Roman"/>
        </w:rPr>
        <w:t>students</w:t>
      </w:r>
      <w:r w:rsidR="00575D7C">
        <w:rPr>
          <w:rFonts w:ascii="Times New Roman" w:hAnsi="Times New Roman" w:hint="eastAsia"/>
          <w:lang w:eastAsia="ko-KR"/>
        </w:rPr>
        <w:t xml:space="preserve"> </w:t>
      </w:r>
      <w:r w:rsidR="00575D7C">
        <w:rPr>
          <w:rFonts w:ascii="Times New Roman" w:hAnsi="Times New Roman"/>
          <w:lang w:eastAsia="ko-KR"/>
        </w:rPr>
        <w:t xml:space="preserve">at </w:t>
      </w:r>
      <w:r w:rsidR="00575D7C">
        <w:rPr>
          <w:rFonts w:ascii="Times New Roman" w:hAnsi="Times New Roman"/>
        </w:rPr>
        <w:t>level 4</w:t>
      </w:r>
      <w:r w:rsidR="002E1C75">
        <w:rPr>
          <w:rFonts w:ascii="Times New Roman" w:hAnsi="Times New Roman"/>
        </w:rPr>
        <w:t>. T</w:t>
      </w:r>
      <w:r>
        <w:rPr>
          <w:rFonts w:ascii="Times New Roman" w:hAnsi="Times New Roman"/>
        </w:rPr>
        <w:t>he bigges</w:t>
      </w:r>
      <w:r w:rsidR="00575D7C">
        <w:rPr>
          <w:rFonts w:ascii="Times New Roman" w:hAnsi="Times New Roman"/>
        </w:rPr>
        <w:t>t proportion of students got a B</w:t>
      </w:r>
      <w:r>
        <w:rPr>
          <w:rFonts w:ascii="Times New Roman" w:hAnsi="Times New Roman"/>
        </w:rPr>
        <w:t xml:space="preserve"> grade: 20 and 49 students from </w:t>
      </w:r>
      <w:r w:rsidR="00575D7C">
        <w:rPr>
          <w:rFonts w:ascii="Times New Roman" w:hAnsi="Times New Roman"/>
        </w:rPr>
        <w:t xml:space="preserve">class </w:t>
      </w:r>
      <w:r>
        <w:rPr>
          <w:rFonts w:ascii="Times New Roman" w:hAnsi="Times New Roman"/>
        </w:rPr>
        <w:t xml:space="preserve">level 5 and level </w:t>
      </w:r>
      <w:r w:rsidR="00575D7C">
        <w:rPr>
          <w:rFonts w:ascii="Times New Roman" w:hAnsi="Times New Roman"/>
        </w:rPr>
        <w:t>6</w:t>
      </w:r>
      <w:r>
        <w:rPr>
          <w:rFonts w:ascii="Times New Roman" w:hAnsi="Times New Roman"/>
        </w:rPr>
        <w:t xml:space="preserve"> respectively</w:t>
      </w:r>
      <w:r w:rsidR="002E1C75">
        <w:rPr>
          <w:rFonts w:ascii="Times New Roman" w:hAnsi="Times New Roman"/>
        </w:rPr>
        <w:t xml:space="preserve"> and th</w:t>
      </w:r>
      <w:r>
        <w:rPr>
          <w:rFonts w:ascii="Times New Roman" w:hAnsi="Times New Roman"/>
        </w:rPr>
        <w:t>e next biggest group</w:t>
      </w:r>
      <w:r w:rsidR="002E1C75">
        <w:rPr>
          <w:rFonts w:ascii="Times New Roman" w:hAnsi="Times New Roman"/>
        </w:rPr>
        <w:t xml:space="preserve">s were </w:t>
      </w:r>
      <w:r w:rsidR="00575D7C">
        <w:rPr>
          <w:rFonts w:ascii="Times New Roman" w:hAnsi="Times New Roman"/>
        </w:rPr>
        <w:t>grade C</w:t>
      </w:r>
      <w:r w:rsidR="002E1C75">
        <w:rPr>
          <w:rFonts w:ascii="Times New Roman" w:hAnsi="Times New Roman"/>
        </w:rPr>
        <w:t xml:space="preserve"> students at level 5 but </w:t>
      </w:r>
      <w:r w:rsidR="00575D7C">
        <w:rPr>
          <w:rFonts w:ascii="Times New Roman" w:hAnsi="Times New Roman"/>
        </w:rPr>
        <w:t>grade A</w:t>
      </w:r>
      <w:r w:rsidR="002E1C75">
        <w:rPr>
          <w:rFonts w:ascii="Times New Roman" w:hAnsi="Times New Roman"/>
        </w:rPr>
        <w:t xml:space="preserve"> students at level 6, followed by the other two grades.</w:t>
      </w:r>
    </w:p>
    <w:p w14:paraId="4E37CAAF" w14:textId="0FC53A88" w:rsidR="007C05E6" w:rsidRPr="00FA37B8" w:rsidRDefault="00DA257D" w:rsidP="007C05E6">
      <w:pPr>
        <w:rPr>
          <w:rFonts w:ascii="Times New Roman" w:hAnsi="Times New Roman"/>
        </w:rPr>
      </w:pPr>
      <w:r>
        <w:rPr>
          <w:rFonts w:ascii="Times New Roman" w:hAnsi="Times New Roman"/>
        </w:rPr>
        <w:t>Table 8</w:t>
      </w:r>
      <w:r w:rsidR="007C05E6">
        <w:rPr>
          <w:rFonts w:ascii="Times New Roman" w:hAnsi="Times New Roman"/>
        </w:rPr>
        <w:t>. Distribution of Former EP</w:t>
      </w:r>
      <w:r w:rsidR="005F7DFF">
        <w:rPr>
          <w:rFonts w:ascii="Times New Roman" w:hAnsi="Times New Roman"/>
        </w:rPr>
        <w:t>I Students’ grades at RV</w:t>
      </w:r>
      <w:r w:rsidR="007C05E6">
        <w:rPr>
          <w:rFonts w:ascii="Times New Roman" w:hAnsi="Times New Roman"/>
        </w:rPr>
        <w:t xml:space="preserve"> level </w:t>
      </w:r>
      <w:r w:rsidR="002E1C75">
        <w:rPr>
          <w:rFonts w:ascii="Times New Roman" w:hAnsi="Times New Roman"/>
        </w:rPr>
        <w:t xml:space="preserve">4, </w:t>
      </w:r>
      <w:r w:rsidR="007C05E6">
        <w:rPr>
          <w:rFonts w:ascii="Times New Roman" w:hAnsi="Times New Roman"/>
        </w:rPr>
        <w:t>5 and 6</w:t>
      </w:r>
    </w:p>
    <w:tbl>
      <w:tblPr>
        <w:tblStyle w:val="TableGrid"/>
        <w:tblW w:w="0" w:type="auto"/>
        <w:tblInd w:w="108" w:type="dxa"/>
        <w:tblLayout w:type="fixed"/>
        <w:tblLook w:val="04A0" w:firstRow="1" w:lastRow="0" w:firstColumn="1" w:lastColumn="0" w:noHBand="0" w:noVBand="1"/>
      </w:tblPr>
      <w:tblGrid>
        <w:gridCol w:w="1080"/>
        <w:gridCol w:w="1260"/>
        <w:gridCol w:w="990"/>
        <w:gridCol w:w="2160"/>
      </w:tblGrid>
      <w:tr w:rsidR="007C05E6" w:rsidRPr="00084D8A" w14:paraId="1CD18DBA" w14:textId="77777777" w:rsidTr="007C05E6">
        <w:trPr>
          <w:trHeight w:val="280"/>
        </w:trPr>
        <w:tc>
          <w:tcPr>
            <w:tcW w:w="1080" w:type="dxa"/>
          </w:tcPr>
          <w:p w14:paraId="4D677963" w14:textId="77777777" w:rsidR="007C05E6" w:rsidRPr="00224AE8" w:rsidRDefault="007C05E6" w:rsidP="007C05E6">
            <w:pPr>
              <w:rPr>
                <w:rFonts w:ascii="Times New Roman" w:hAnsi="Times New Roman"/>
              </w:rPr>
            </w:pPr>
            <w:r>
              <w:rPr>
                <w:rFonts w:ascii="Times New Roman" w:hAnsi="Times New Roman"/>
              </w:rPr>
              <w:t>Levels</w:t>
            </w:r>
          </w:p>
        </w:tc>
        <w:tc>
          <w:tcPr>
            <w:tcW w:w="1260" w:type="dxa"/>
          </w:tcPr>
          <w:p w14:paraId="15A89CB7" w14:textId="77777777" w:rsidR="007C05E6" w:rsidRPr="00224AE8" w:rsidRDefault="007C05E6" w:rsidP="007C05E6">
            <w:pPr>
              <w:rPr>
                <w:rFonts w:ascii="Times New Roman" w:hAnsi="Times New Roman"/>
              </w:rPr>
            </w:pPr>
            <w:r>
              <w:rPr>
                <w:rFonts w:ascii="Times New Roman" w:hAnsi="Times New Roman"/>
              </w:rPr>
              <w:t>Grades</w:t>
            </w:r>
          </w:p>
        </w:tc>
        <w:tc>
          <w:tcPr>
            <w:tcW w:w="990" w:type="dxa"/>
          </w:tcPr>
          <w:p w14:paraId="0090D27B" w14:textId="77777777" w:rsidR="007C05E6" w:rsidRPr="00224AE8" w:rsidRDefault="007C05E6" w:rsidP="007C05E6">
            <w:pPr>
              <w:rPr>
                <w:rFonts w:ascii="Times New Roman" w:hAnsi="Times New Roman"/>
              </w:rPr>
            </w:pPr>
            <w:r>
              <w:rPr>
                <w:rFonts w:ascii="Times New Roman" w:hAnsi="Times New Roman"/>
              </w:rPr>
              <w:t>Groups</w:t>
            </w:r>
          </w:p>
        </w:tc>
        <w:tc>
          <w:tcPr>
            <w:tcW w:w="2160" w:type="dxa"/>
          </w:tcPr>
          <w:p w14:paraId="4EE75C6C" w14:textId="77777777" w:rsidR="007C05E6" w:rsidRDefault="007C05E6" w:rsidP="007C05E6">
            <w:pPr>
              <w:rPr>
                <w:rFonts w:ascii="Times New Roman" w:hAnsi="Times New Roman"/>
              </w:rPr>
            </w:pPr>
            <w:r>
              <w:rPr>
                <w:rFonts w:ascii="Times New Roman" w:hAnsi="Times New Roman"/>
              </w:rPr>
              <w:t>Number of Students</w:t>
            </w:r>
          </w:p>
        </w:tc>
      </w:tr>
      <w:tr w:rsidR="007C05E6" w:rsidRPr="00084D8A" w14:paraId="44B5FF45" w14:textId="77777777" w:rsidTr="007C05E6">
        <w:trPr>
          <w:trHeight w:val="280"/>
        </w:trPr>
        <w:tc>
          <w:tcPr>
            <w:tcW w:w="1080" w:type="dxa"/>
          </w:tcPr>
          <w:p w14:paraId="2E36EC7E" w14:textId="77777777" w:rsidR="007C05E6" w:rsidRPr="00224AE8" w:rsidRDefault="007C05E6" w:rsidP="007C05E6">
            <w:pPr>
              <w:jc w:val="center"/>
              <w:rPr>
                <w:rFonts w:ascii="Times New Roman" w:hAnsi="Times New Roman"/>
              </w:rPr>
            </w:pPr>
            <w:r>
              <w:rPr>
                <w:rFonts w:ascii="Times New Roman" w:hAnsi="Times New Roman"/>
              </w:rPr>
              <w:t>4</w:t>
            </w:r>
          </w:p>
        </w:tc>
        <w:tc>
          <w:tcPr>
            <w:tcW w:w="1260" w:type="dxa"/>
          </w:tcPr>
          <w:p w14:paraId="0C1B6209" w14:textId="3F12008F" w:rsidR="007C05E6" w:rsidRPr="00224AE8" w:rsidRDefault="00FC51CB" w:rsidP="007C05E6">
            <w:pPr>
              <w:jc w:val="center"/>
              <w:rPr>
                <w:rFonts w:ascii="Times New Roman" w:hAnsi="Times New Roman"/>
              </w:rPr>
            </w:pPr>
            <w:r>
              <w:rPr>
                <w:rFonts w:ascii="Times New Roman" w:hAnsi="Times New Roman"/>
              </w:rPr>
              <w:t>A-F</w:t>
            </w:r>
          </w:p>
        </w:tc>
        <w:tc>
          <w:tcPr>
            <w:tcW w:w="990" w:type="dxa"/>
          </w:tcPr>
          <w:p w14:paraId="118CB8F5" w14:textId="77777777" w:rsidR="007C05E6" w:rsidRPr="00224AE8" w:rsidRDefault="007C05E6" w:rsidP="007C05E6">
            <w:pPr>
              <w:jc w:val="center"/>
              <w:rPr>
                <w:rFonts w:ascii="Times New Roman" w:hAnsi="Times New Roman"/>
              </w:rPr>
            </w:pPr>
            <w:r w:rsidRPr="00224AE8">
              <w:rPr>
                <w:rFonts w:ascii="Times New Roman" w:hAnsi="Times New Roman"/>
              </w:rPr>
              <w:t>4</w:t>
            </w:r>
          </w:p>
        </w:tc>
        <w:tc>
          <w:tcPr>
            <w:tcW w:w="2160" w:type="dxa"/>
            <w:vAlign w:val="bottom"/>
          </w:tcPr>
          <w:p w14:paraId="5EA03FA1" w14:textId="4B868F06" w:rsidR="007C05E6" w:rsidRPr="00224AE8" w:rsidRDefault="007C05E6" w:rsidP="007C05E6">
            <w:pPr>
              <w:jc w:val="center"/>
              <w:rPr>
                <w:rFonts w:ascii="Times New Roman" w:hAnsi="Times New Roman"/>
              </w:rPr>
            </w:pPr>
            <w:r>
              <w:rPr>
                <w:rFonts w:ascii="Calibri" w:eastAsia="Times New Roman" w:hAnsi="Calibri" w:cs="Times New Roman"/>
                <w:color w:val="000000"/>
                <w:sz w:val="22"/>
                <w:szCs w:val="22"/>
              </w:rPr>
              <w:t>3</w:t>
            </w:r>
          </w:p>
        </w:tc>
      </w:tr>
      <w:tr w:rsidR="007C05E6" w:rsidRPr="00084D8A" w14:paraId="4C0F352E" w14:textId="77777777" w:rsidTr="007C05E6">
        <w:trPr>
          <w:trHeight w:val="280"/>
        </w:trPr>
        <w:tc>
          <w:tcPr>
            <w:tcW w:w="1080" w:type="dxa"/>
            <w:vMerge w:val="restart"/>
          </w:tcPr>
          <w:p w14:paraId="150ED69B" w14:textId="77777777" w:rsidR="007C05E6" w:rsidRPr="00224AE8" w:rsidRDefault="007C05E6" w:rsidP="007C05E6">
            <w:pPr>
              <w:jc w:val="center"/>
              <w:rPr>
                <w:rFonts w:ascii="Times New Roman" w:hAnsi="Times New Roman"/>
              </w:rPr>
            </w:pPr>
            <w:r>
              <w:rPr>
                <w:rFonts w:ascii="Times New Roman" w:hAnsi="Times New Roman"/>
              </w:rPr>
              <w:t>5</w:t>
            </w:r>
          </w:p>
          <w:p w14:paraId="754BB84B" w14:textId="77777777" w:rsidR="007C05E6" w:rsidRPr="00224AE8" w:rsidRDefault="007C05E6" w:rsidP="007C05E6">
            <w:pPr>
              <w:jc w:val="center"/>
              <w:rPr>
                <w:rFonts w:ascii="Times New Roman" w:hAnsi="Times New Roman"/>
              </w:rPr>
            </w:pPr>
          </w:p>
        </w:tc>
        <w:tc>
          <w:tcPr>
            <w:tcW w:w="1260" w:type="dxa"/>
          </w:tcPr>
          <w:p w14:paraId="74EA1A17" w14:textId="5A3719FB" w:rsidR="007C05E6" w:rsidRPr="00224AE8" w:rsidRDefault="00FC51CB" w:rsidP="007C05E6">
            <w:pPr>
              <w:jc w:val="center"/>
              <w:rPr>
                <w:rFonts w:ascii="Times New Roman" w:hAnsi="Times New Roman"/>
              </w:rPr>
            </w:pPr>
            <w:r>
              <w:rPr>
                <w:rFonts w:ascii="Times New Roman" w:hAnsi="Times New Roman"/>
              </w:rPr>
              <w:t>A</w:t>
            </w:r>
          </w:p>
        </w:tc>
        <w:tc>
          <w:tcPr>
            <w:tcW w:w="990" w:type="dxa"/>
          </w:tcPr>
          <w:p w14:paraId="53F7E681" w14:textId="77777777" w:rsidR="007C05E6" w:rsidRPr="00224AE8" w:rsidRDefault="007C05E6" w:rsidP="007C05E6">
            <w:pPr>
              <w:jc w:val="center"/>
              <w:rPr>
                <w:rFonts w:ascii="Times New Roman" w:hAnsi="Times New Roman"/>
              </w:rPr>
            </w:pPr>
            <w:r w:rsidRPr="00224AE8">
              <w:rPr>
                <w:rFonts w:ascii="Times New Roman" w:hAnsi="Times New Roman"/>
              </w:rPr>
              <w:t>5a</w:t>
            </w:r>
          </w:p>
        </w:tc>
        <w:tc>
          <w:tcPr>
            <w:tcW w:w="2160" w:type="dxa"/>
            <w:vAlign w:val="bottom"/>
          </w:tcPr>
          <w:p w14:paraId="6852D055" w14:textId="4DB7701C" w:rsidR="007C05E6" w:rsidRPr="00224AE8" w:rsidRDefault="007C05E6" w:rsidP="007C05E6">
            <w:pPr>
              <w:jc w:val="center"/>
              <w:rPr>
                <w:rFonts w:ascii="Times New Roman" w:hAnsi="Times New Roman"/>
              </w:rPr>
            </w:pPr>
            <w:r>
              <w:rPr>
                <w:rFonts w:ascii="Calibri" w:eastAsia="Times New Roman" w:hAnsi="Calibri" w:cs="Times New Roman"/>
                <w:color w:val="000000"/>
                <w:sz w:val="22"/>
                <w:szCs w:val="22"/>
              </w:rPr>
              <w:t>5</w:t>
            </w:r>
          </w:p>
        </w:tc>
      </w:tr>
      <w:tr w:rsidR="007C05E6" w:rsidRPr="00084D8A" w14:paraId="62873212" w14:textId="77777777" w:rsidTr="007C05E6">
        <w:trPr>
          <w:trHeight w:val="280"/>
        </w:trPr>
        <w:tc>
          <w:tcPr>
            <w:tcW w:w="1080" w:type="dxa"/>
            <w:vMerge/>
          </w:tcPr>
          <w:p w14:paraId="7E77F98D" w14:textId="77777777" w:rsidR="007C05E6" w:rsidRPr="00224AE8" w:rsidRDefault="007C05E6" w:rsidP="007C05E6">
            <w:pPr>
              <w:jc w:val="center"/>
              <w:rPr>
                <w:rFonts w:ascii="Times New Roman" w:hAnsi="Times New Roman"/>
              </w:rPr>
            </w:pPr>
          </w:p>
        </w:tc>
        <w:tc>
          <w:tcPr>
            <w:tcW w:w="1260" w:type="dxa"/>
          </w:tcPr>
          <w:p w14:paraId="5BADA03D" w14:textId="22F87D09" w:rsidR="007C05E6" w:rsidRPr="00224AE8" w:rsidRDefault="00FC51CB" w:rsidP="007C05E6">
            <w:pPr>
              <w:jc w:val="center"/>
              <w:rPr>
                <w:rFonts w:ascii="Times New Roman" w:hAnsi="Times New Roman"/>
              </w:rPr>
            </w:pPr>
            <w:r>
              <w:rPr>
                <w:rFonts w:ascii="Times New Roman" w:hAnsi="Times New Roman"/>
              </w:rPr>
              <w:t>B</w:t>
            </w:r>
          </w:p>
        </w:tc>
        <w:tc>
          <w:tcPr>
            <w:tcW w:w="990" w:type="dxa"/>
          </w:tcPr>
          <w:p w14:paraId="2EE9347B" w14:textId="77777777" w:rsidR="007C05E6" w:rsidRPr="00224AE8" w:rsidRDefault="007C05E6" w:rsidP="007C05E6">
            <w:pPr>
              <w:jc w:val="center"/>
              <w:rPr>
                <w:rFonts w:ascii="Times New Roman" w:hAnsi="Times New Roman"/>
              </w:rPr>
            </w:pPr>
            <w:r w:rsidRPr="00224AE8">
              <w:rPr>
                <w:rFonts w:ascii="Times New Roman" w:hAnsi="Times New Roman"/>
              </w:rPr>
              <w:t>5b</w:t>
            </w:r>
          </w:p>
        </w:tc>
        <w:tc>
          <w:tcPr>
            <w:tcW w:w="2160" w:type="dxa"/>
            <w:vAlign w:val="bottom"/>
          </w:tcPr>
          <w:p w14:paraId="438F10E0" w14:textId="7A0878E8" w:rsidR="007C05E6" w:rsidRPr="00224AE8" w:rsidRDefault="007C05E6" w:rsidP="007C05E6">
            <w:pPr>
              <w:jc w:val="center"/>
              <w:rPr>
                <w:rFonts w:ascii="Times New Roman" w:hAnsi="Times New Roman"/>
              </w:rPr>
            </w:pPr>
            <w:r>
              <w:rPr>
                <w:rFonts w:ascii="Calibri" w:eastAsia="Times New Roman" w:hAnsi="Calibri" w:cs="Times New Roman"/>
                <w:color w:val="000000"/>
                <w:sz w:val="22"/>
                <w:szCs w:val="22"/>
              </w:rPr>
              <w:t>19</w:t>
            </w:r>
          </w:p>
        </w:tc>
      </w:tr>
      <w:tr w:rsidR="007C05E6" w:rsidRPr="00084D8A" w14:paraId="07F6B23B" w14:textId="77777777" w:rsidTr="007C05E6">
        <w:trPr>
          <w:trHeight w:val="280"/>
        </w:trPr>
        <w:tc>
          <w:tcPr>
            <w:tcW w:w="1080" w:type="dxa"/>
            <w:vMerge/>
          </w:tcPr>
          <w:p w14:paraId="7798CE6D" w14:textId="77777777" w:rsidR="007C05E6" w:rsidRPr="00224AE8" w:rsidRDefault="007C05E6" w:rsidP="007C05E6">
            <w:pPr>
              <w:jc w:val="center"/>
              <w:rPr>
                <w:rFonts w:ascii="Times New Roman" w:hAnsi="Times New Roman"/>
              </w:rPr>
            </w:pPr>
          </w:p>
        </w:tc>
        <w:tc>
          <w:tcPr>
            <w:tcW w:w="1260" w:type="dxa"/>
          </w:tcPr>
          <w:p w14:paraId="3C342F66" w14:textId="34F86952" w:rsidR="007C05E6" w:rsidRPr="00224AE8" w:rsidRDefault="00FC51CB" w:rsidP="007C05E6">
            <w:pPr>
              <w:jc w:val="center"/>
              <w:rPr>
                <w:rFonts w:ascii="Times New Roman" w:hAnsi="Times New Roman"/>
              </w:rPr>
            </w:pPr>
            <w:r>
              <w:rPr>
                <w:rFonts w:ascii="Times New Roman" w:hAnsi="Times New Roman"/>
              </w:rPr>
              <w:t>C</w:t>
            </w:r>
          </w:p>
        </w:tc>
        <w:tc>
          <w:tcPr>
            <w:tcW w:w="990" w:type="dxa"/>
          </w:tcPr>
          <w:p w14:paraId="390B2303" w14:textId="77777777" w:rsidR="007C05E6" w:rsidRPr="00224AE8" w:rsidRDefault="007C05E6" w:rsidP="007C05E6">
            <w:pPr>
              <w:jc w:val="center"/>
              <w:rPr>
                <w:rFonts w:ascii="Times New Roman" w:hAnsi="Times New Roman"/>
              </w:rPr>
            </w:pPr>
            <w:r w:rsidRPr="00224AE8">
              <w:rPr>
                <w:rFonts w:ascii="Times New Roman" w:hAnsi="Times New Roman"/>
              </w:rPr>
              <w:t>5c</w:t>
            </w:r>
          </w:p>
        </w:tc>
        <w:tc>
          <w:tcPr>
            <w:tcW w:w="2160" w:type="dxa"/>
            <w:vAlign w:val="bottom"/>
          </w:tcPr>
          <w:p w14:paraId="7B4B0473" w14:textId="2A688309" w:rsidR="007C05E6" w:rsidRPr="00224AE8" w:rsidRDefault="007C05E6" w:rsidP="007C05E6">
            <w:pPr>
              <w:jc w:val="center"/>
              <w:rPr>
                <w:rFonts w:ascii="Times New Roman" w:hAnsi="Times New Roman"/>
              </w:rPr>
            </w:pPr>
            <w:r>
              <w:rPr>
                <w:rFonts w:ascii="Calibri" w:eastAsia="Times New Roman" w:hAnsi="Calibri" w:cs="Times New Roman"/>
                <w:color w:val="000000"/>
                <w:sz w:val="22"/>
                <w:szCs w:val="22"/>
              </w:rPr>
              <w:t>6</w:t>
            </w:r>
          </w:p>
        </w:tc>
      </w:tr>
      <w:tr w:rsidR="007C05E6" w:rsidRPr="00084D8A" w14:paraId="402FE2F0" w14:textId="77777777" w:rsidTr="007C05E6">
        <w:trPr>
          <w:trHeight w:val="280"/>
        </w:trPr>
        <w:tc>
          <w:tcPr>
            <w:tcW w:w="1080" w:type="dxa"/>
            <w:vMerge/>
          </w:tcPr>
          <w:p w14:paraId="1E203E0E" w14:textId="77777777" w:rsidR="007C05E6" w:rsidRPr="00224AE8" w:rsidRDefault="007C05E6" w:rsidP="007C05E6">
            <w:pPr>
              <w:jc w:val="center"/>
              <w:rPr>
                <w:rFonts w:ascii="Times New Roman" w:hAnsi="Times New Roman"/>
              </w:rPr>
            </w:pPr>
          </w:p>
        </w:tc>
        <w:tc>
          <w:tcPr>
            <w:tcW w:w="1260" w:type="dxa"/>
          </w:tcPr>
          <w:p w14:paraId="55F9508A" w14:textId="02E57035" w:rsidR="007C05E6" w:rsidRPr="00224AE8" w:rsidRDefault="00FC51CB" w:rsidP="007C05E6">
            <w:pPr>
              <w:jc w:val="center"/>
              <w:rPr>
                <w:rFonts w:ascii="Times New Roman" w:hAnsi="Times New Roman"/>
              </w:rPr>
            </w:pPr>
            <w:r>
              <w:rPr>
                <w:rFonts w:ascii="Times New Roman" w:hAnsi="Times New Roman"/>
              </w:rPr>
              <w:t>D-F</w:t>
            </w:r>
          </w:p>
        </w:tc>
        <w:tc>
          <w:tcPr>
            <w:tcW w:w="990" w:type="dxa"/>
          </w:tcPr>
          <w:p w14:paraId="5893937A" w14:textId="77777777" w:rsidR="007C05E6" w:rsidRPr="00224AE8" w:rsidRDefault="007C05E6" w:rsidP="007C05E6">
            <w:pPr>
              <w:jc w:val="center"/>
              <w:rPr>
                <w:rFonts w:ascii="Times New Roman" w:hAnsi="Times New Roman"/>
              </w:rPr>
            </w:pPr>
            <w:r>
              <w:rPr>
                <w:rFonts w:ascii="Times New Roman" w:hAnsi="Times New Roman"/>
              </w:rPr>
              <w:t>5d</w:t>
            </w:r>
          </w:p>
        </w:tc>
        <w:tc>
          <w:tcPr>
            <w:tcW w:w="2160" w:type="dxa"/>
            <w:vAlign w:val="bottom"/>
          </w:tcPr>
          <w:p w14:paraId="308D84E4" w14:textId="3B4C9475" w:rsidR="007C05E6" w:rsidRPr="00224AE8" w:rsidRDefault="007C05E6" w:rsidP="007C05E6">
            <w:pPr>
              <w:jc w:val="center"/>
              <w:rPr>
                <w:rFonts w:ascii="Times New Roman" w:hAnsi="Times New Roman"/>
              </w:rPr>
            </w:pPr>
            <w:r>
              <w:rPr>
                <w:rFonts w:ascii="Calibri" w:eastAsia="Times New Roman" w:hAnsi="Calibri" w:cs="Times New Roman"/>
                <w:color w:val="000000"/>
                <w:sz w:val="22"/>
                <w:szCs w:val="22"/>
              </w:rPr>
              <w:t>6</w:t>
            </w:r>
          </w:p>
        </w:tc>
      </w:tr>
      <w:tr w:rsidR="007C05E6" w:rsidRPr="00084D8A" w14:paraId="6FC4F471" w14:textId="77777777" w:rsidTr="007C05E6">
        <w:trPr>
          <w:trHeight w:val="280"/>
        </w:trPr>
        <w:tc>
          <w:tcPr>
            <w:tcW w:w="1080" w:type="dxa"/>
            <w:vMerge w:val="restart"/>
          </w:tcPr>
          <w:p w14:paraId="0821EF4D" w14:textId="77777777" w:rsidR="007C05E6" w:rsidRPr="00224AE8" w:rsidRDefault="007C05E6" w:rsidP="007C05E6">
            <w:pPr>
              <w:jc w:val="center"/>
              <w:rPr>
                <w:rFonts w:ascii="Times New Roman" w:hAnsi="Times New Roman"/>
              </w:rPr>
            </w:pPr>
            <w:r>
              <w:rPr>
                <w:rFonts w:ascii="Times New Roman" w:hAnsi="Times New Roman"/>
              </w:rPr>
              <w:t>6</w:t>
            </w:r>
          </w:p>
        </w:tc>
        <w:tc>
          <w:tcPr>
            <w:tcW w:w="1260" w:type="dxa"/>
          </w:tcPr>
          <w:p w14:paraId="18E615D9" w14:textId="3A348E5C" w:rsidR="007C05E6" w:rsidRPr="00224AE8" w:rsidRDefault="00FC51CB" w:rsidP="007C05E6">
            <w:pPr>
              <w:jc w:val="center"/>
              <w:rPr>
                <w:rFonts w:ascii="Times New Roman" w:hAnsi="Times New Roman"/>
              </w:rPr>
            </w:pPr>
            <w:r>
              <w:rPr>
                <w:rFonts w:ascii="Times New Roman" w:hAnsi="Times New Roman"/>
              </w:rPr>
              <w:t>A</w:t>
            </w:r>
          </w:p>
        </w:tc>
        <w:tc>
          <w:tcPr>
            <w:tcW w:w="990" w:type="dxa"/>
          </w:tcPr>
          <w:p w14:paraId="4DE0D423" w14:textId="77777777" w:rsidR="007C05E6" w:rsidRPr="00224AE8" w:rsidRDefault="007C05E6" w:rsidP="007C05E6">
            <w:pPr>
              <w:jc w:val="center"/>
              <w:rPr>
                <w:rFonts w:ascii="Times New Roman" w:hAnsi="Times New Roman"/>
              </w:rPr>
            </w:pPr>
            <w:r w:rsidRPr="00224AE8">
              <w:rPr>
                <w:rFonts w:ascii="Times New Roman" w:hAnsi="Times New Roman"/>
              </w:rPr>
              <w:t>6a</w:t>
            </w:r>
          </w:p>
        </w:tc>
        <w:tc>
          <w:tcPr>
            <w:tcW w:w="2160" w:type="dxa"/>
            <w:vAlign w:val="bottom"/>
          </w:tcPr>
          <w:p w14:paraId="4537264B" w14:textId="7CCEA73B" w:rsidR="007C05E6" w:rsidRPr="00224AE8" w:rsidRDefault="007C05E6" w:rsidP="007C05E6">
            <w:pPr>
              <w:jc w:val="center"/>
              <w:rPr>
                <w:rFonts w:ascii="Times New Roman" w:hAnsi="Times New Roman"/>
              </w:rPr>
            </w:pPr>
            <w:r>
              <w:rPr>
                <w:rFonts w:ascii="Calibri" w:eastAsia="Times New Roman" w:hAnsi="Calibri" w:cs="Times New Roman"/>
                <w:color w:val="000000"/>
                <w:sz w:val="22"/>
                <w:szCs w:val="22"/>
              </w:rPr>
              <w:t>22</w:t>
            </w:r>
          </w:p>
        </w:tc>
      </w:tr>
      <w:tr w:rsidR="007C05E6" w:rsidRPr="00084D8A" w14:paraId="254A804A" w14:textId="77777777" w:rsidTr="007C05E6">
        <w:trPr>
          <w:trHeight w:val="280"/>
        </w:trPr>
        <w:tc>
          <w:tcPr>
            <w:tcW w:w="1080" w:type="dxa"/>
            <w:vMerge/>
          </w:tcPr>
          <w:p w14:paraId="71E29426" w14:textId="77777777" w:rsidR="007C05E6" w:rsidRPr="00224AE8" w:rsidRDefault="007C05E6" w:rsidP="007C05E6">
            <w:pPr>
              <w:jc w:val="center"/>
              <w:rPr>
                <w:rFonts w:ascii="Times New Roman" w:hAnsi="Times New Roman"/>
              </w:rPr>
            </w:pPr>
          </w:p>
        </w:tc>
        <w:tc>
          <w:tcPr>
            <w:tcW w:w="1260" w:type="dxa"/>
          </w:tcPr>
          <w:p w14:paraId="1C5A74D0" w14:textId="5B010626" w:rsidR="007C05E6" w:rsidRPr="00224AE8" w:rsidRDefault="00FC51CB" w:rsidP="007C05E6">
            <w:pPr>
              <w:jc w:val="center"/>
              <w:rPr>
                <w:rFonts w:ascii="Times New Roman" w:hAnsi="Times New Roman"/>
              </w:rPr>
            </w:pPr>
            <w:r>
              <w:rPr>
                <w:rFonts w:ascii="Times New Roman" w:hAnsi="Times New Roman"/>
              </w:rPr>
              <w:t>B</w:t>
            </w:r>
          </w:p>
        </w:tc>
        <w:tc>
          <w:tcPr>
            <w:tcW w:w="990" w:type="dxa"/>
          </w:tcPr>
          <w:p w14:paraId="553FFE8B" w14:textId="77777777" w:rsidR="007C05E6" w:rsidRPr="00224AE8" w:rsidRDefault="007C05E6" w:rsidP="007C05E6">
            <w:pPr>
              <w:jc w:val="center"/>
              <w:rPr>
                <w:rFonts w:ascii="Times New Roman" w:hAnsi="Times New Roman"/>
              </w:rPr>
            </w:pPr>
            <w:r w:rsidRPr="00224AE8">
              <w:rPr>
                <w:rFonts w:ascii="Times New Roman" w:hAnsi="Times New Roman"/>
              </w:rPr>
              <w:t>6b</w:t>
            </w:r>
          </w:p>
        </w:tc>
        <w:tc>
          <w:tcPr>
            <w:tcW w:w="2160" w:type="dxa"/>
            <w:vAlign w:val="bottom"/>
          </w:tcPr>
          <w:p w14:paraId="1314F011" w14:textId="589318A6" w:rsidR="007C05E6" w:rsidRPr="00224AE8" w:rsidRDefault="007C05E6" w:rsidP="007C05E6">
            <w:pPr>
              <w:jc w:val="center"/>
              <w:rPr>
                <w:rFonts w:ascii="Times New Roman" w:hAnsi="Times New Roman"/>
              </w:rPr>
            </w:pPr>
            <w:r>
              <w:rPr>
                <w:rFonts w:ascii="Calibri" w:eastAsia="Times New Roman" w:hAnsi="Calibri" w:cs="Times New Roman"/>
                <w:color w:val="000000"/>
                <w:sz w:val="22"/>
                <w:szCs w:val="22"/>
              </w:rPr>
              <w:t>46</w:t>
            </w:r>
          </w:p>
        </w:tc>
      </w:tr>
      <w:tr w:rsidR="007C05E6" w:rsidRPr="00084D8A" w14:paraId="2073FBEB" w14:textId="77777777" w:rsidTr="007C05E6">
        <w:trPr>
          <w:trHeight w:val="280"/>
        </w:trPr>
        <w:tc>
          <w:tcPr>
            <w:tcW w:w="1080" w:type="dxa"/>
            <w:vMerge/>
          </w:tcPr>
          <w:p w14:paraId="36284EA1" w14:textId="77777777" w:rsidR="007C05E6" w:rsidRPr="00224AE8" w:rsidRDefault="007C05E6" w:rsidP="007C05E6">
            <w:pPr>
              <w:jc w:val="center"/>
              <w:rPr>
                <w:rFonts w:ascii="Times New Roman" w:hAnsi="Times New Roman"/>
              </w:rPr>
            </w:pPr>
          </w:p>
        </w:tc>
        <w:tc>
          <w:tcPr>
            <w:tcW w:w="1260" w:type="dxa"/>
          </w:tcPr>
          <w:p w14:paraId="435D55B9" w14:textId="608C02F0" w:rsidR="007C05E6" w:rsidRPr="00224AE8" w:rsidRDefault="00FC51CB" w:rsidP="007C05E6">
            <w:pPr>
              <w:jc w:val="center"/>
              <w:rPr>
                <w:rFonts w:ascii="Times New Roman" w:hAnsi="Times New Roman"/>
              </w:rPr>
            </w:pPr>
            <w:r>
              <w:rPr>
                <w:rFonts w:ascii="Times New Roman" w:hAnsi="Times New Roman"/>
              </w:rPr>
              <w:t>C</w:t>
            </w:r>
          </w:p>
        </w:tc>
        <w:tc>
          <w:tcPr>
            <w:tcW w:w="990" w:type="dxa"/>
          </w:tcPr>
          <w:p w14:paraId="6EAE6EE0" w14:textId="77777777" w:rsidR="007C05E6" w:rsidRPr="00224AE8" w:rsidRDefault="007C05E6" w:rsidP="007C05E6">
            <w:pPr>
              <w:jc w:val="center"/>
              <w:rPr>
                <w:rFonts w:ascii="Times New Roman" w:hAnsi="Times New Roman"/>
              </w:rPr>
            </w:pPr>
            <w:r w:rsidRPr="00224AE8">
              <w:rPr>
                <w:rFonts w:ascii="Times New Roman" w:hAnsi="Times New Roman"/>
              </w:rPr>
              <w:t>6c</w:t>
            </w:r>
          </w:p>
        </w:tc>
        <w:tc>
          <w:tcPr>
            <w:tcW w:w="2160" w:type="dxa"/>
            <w:vAlign w:val="bottom"/>
          </w:tcPr>
          <w:p w14:paraId="34E06AF5" w14:textId="1DC3E52D" w:rsidR="007C05E6" w:rsidRPr="00224AE8" w:rsidRDefault="007C05E6" w:rsidP="007C05E6">
            <w:pPr>
              <w:jc w:val="center"/>
              <w:rPr>
                <w:rFonts w:ascii="Times New Roman" w:hAnsi="Times New Roman"/>
              </w:rPr>
            </w:pPr>
            <w:r>
              <w:rPr>
                <w:rFonts w:ascii="Calibri" w:eastAsia="Times New Roman" w:hAnsi="Calibri" w:cs="Times New Roman"/>
                <w:color w:val="000000"/>
                <w:sz w:val="22"/>
                <w:szCs w:val="22"/>
              </w:rPr>
              <w:t>14</w:t>
            </w:r>
          </w:p>
        </w:tc>
      </w:tr>
      <w:tr w:rsidR="007C05E6" w:rsidRPr="00084D8A" w14:paraId="4341CD58" w14:textId="77777777" w:rsidTr="007C05E6">
        <w:trPr>
          <w:trHeight w:val="280"/>
        </w:trPr>
        <w:tc>
          <w:tcPr>
            <w:tcW w:w="1080" w:type="dxa"/>
            <w:vMerge/>
          </w:tcPr>
          <w:p w14:paraId="1C9421B7" w14:textId="77777777" w:rsidR="007C05E6" w:rsidRPr="00224AE8" w:rsidRDefault="007C05E6" w:rsidP="007C05E6">
            <w:pPr>
              <w:jc w:val="center"/>
              <w:rPr>
                <w:rFonts w:ascii="Times New Roman" w:hAnsi="Times New Roman"/>
              </w:rPr>
            </w:pPr>
          </w:p>
        </w:tc>
        <w:tc>
          <w:tcPr>
            <w:tcW w:w="1260" w:type="dxa"/>
          </w:tcPr>
          <w:p w14:paraId="79DE3DEC" w14:textId="6984202C" w:rsidR="007C05E6" w:rsidRPr="00224AE8" w:rsidRDefault="00FC51CB" w:rsidP="007C05E6">
            <w:pPr>
              <w:jc w:val="center"/>
              <w:rPr>
                <w:rFonts w:ascii="Times New Roman" w:hAnsi="Times New Roman"/>
              </w:rPr>
            </w:pPr>
            <w:r>
              <w:rPr>
                <w:rFonts w:ascii="Times New Roman" w:hAnsi="Times New Roman"/>
              </w:rPr>
              <w:t>D-F</w:t>
            </w:r>
          </w:p>
        </w:tc>
        <w:tc>
          <w:tcPr>
            <w:tcW w:w="990" w:type="dxa"/>
          </w:tcPr>
          <w:p w14:paraId="5DFA7BC5" w14:textId="77777777" w:rsidR="007C05E6" w:rsidRPr="00224AE8" w:rsidRDefault="007C05E6" w:rsidP="007C05E6">
            <w:pPr>
              <w:jc w:val="center"/>
              <w:rPr>
                <w:rFonts w:ascii="Times New Roman" w:hAnsi="Times New Roman"/>
              </w:rPr>
            </w:pPr>
            <w:r>
              <w:rPr>
                <w:rFonts w:ascii="Times New Roman" w:hAnsi="Times New Roman"/>
              </w:rPr>
              <w:t>6d</w:t>
            </w:r>
          </w:p>
        </w:tc>
        <w:tc>
          <w:tcPr>
            <w:tcW w:w="2160" w:type="dxa"/>
            <w:vAlign w:val="bottom"/>
          </w:tcPr>
          <w:p w14:paraId="6D6B2A47" w14:textId="300D115E" w:rsidR="007C05E6" w:rsidRPr="00224AE8" w:rsidRDefault="007C05E6" w:rsidP="007C05E6">
            <w:pPr>
              <w:jc w:val="center"/>
              <w:rPr>
                <w:rFonts w:ascii="Times New Roman" w:hAnsi="Times New Roman"/>
              </w:rPr>
            </w:pPr>
            <w:r>
              <w:rPr>
                <w:rFonts w:ascii="Calibri" w:eastAsia="Times New Roman" w:hAnsi="Calibri" w:cs="Times New Roman"/>
                <w:color w:val="000000"/>
                <w:sz w:val="22"/>
                <w:szCs w:val="22"/>
              </w:rPr>
              <w:t>14</w:t>
            </w:r>
          </w:p>
        </w:tc>
      </w:tr>
      <w:tr w:rsidR="007C05E6" w:rsidRPr="00084D8A" w14:paraId="46CCB2A7" w14:textId="77777777" w:rsidTr="007C05E6">
        <w:trPr>
          <w:trHeight w:val="280"/>
        </w:trPr>
        <w:tc>
          <w:tcPr>
            <w:tcW w:w="3330" w:type="dxa"/>
            <w:gridSpan w:val="3"/>
          </w:tcPr>
          <w:p w14:paraId="4E6F8402" w14:textId="77777777" w:rsidR="007C05E6" w:rsidRPr="00224AE8" w:rsidRDefault="007C05E6" w:rsidP="007C05E6">
            <w:pPr>
              <w:jc w:val="center"/>
              <w:rPr>
                <w:rFonts w:ascii="Times New Roman" w:hAnsi="Times New Roman"/>
              </w:rPr>
            </w:pPr>
            <w:r>
              <w:rPr>
                <w:rFonts w:ascii="Times New Roman" w:hAnsi="Times New Roman"/>
              </w:rPr>
              <w:t>Total</w:t>
            </w:r>
          </w:p>
        </w:tc>
        <w:tc>
          <w:tcPr>
            <w:tcW w:w="2160" w:type="dxa"/>
          </w:tcPr>
          <w:p w14:paraId="27280ECE" w14:textId="77777777" w:rsidR="007C05E6" w:rsidRPr="00224AE8" w:rsidRDefault="007C05E6" w:rsidP="007C05E6">
            <w:pPr>
              <w:jc w:val="center"/>
              <w:rPr>
                <w:rFonts w:ascii="Times New Roman" w:hAnsi="Times New Roman"/>
              </w:rPr>
            </w:pPr>
            <w:r w:rsidRPr="00224AE8">
              <w:rPr>
                <w:rFonts w:ascii="Times New Roman" w:hAnsi="Times New Roman"/>
              </w:rPr>
              <w:t>135</w:t>
            </w:r>
          </w:p>
        </w:tc>
      </w:tr>
    </w:tbl>
    <w:p w14:paraId="35EE84E3" w14:textId="77777777" w:rsidR="007C05E6" w:rsidRDefault="007C05E6" w:rsidP="007C05E6">
      <w:pPr>
        <w:rPr>
          <w:rFonts w:ascii="Times New Roman" w:hAnsi="Times New Roman"/>
          <w:b/>
        </w:rPr>
      </w:pPr>
      <w:r>
        <w:rPr>
          <w:rFonts w:ascii="Times New Roman" w:hAnsi="Times New Roman"/>
        </w:rPr>
        <w:t xml:space="preserve">* </w:t>
      </w:r>
      <w:r w:rsidRPr="00224AE8">
        <w:rPr>
          <w:rFonts w:ascii="Times New Roman" w:hAnsi="Times New Roman"/>
        </w:rPr>
        <w:t>1</w:t>
      </w:r>
      <w:r>
        <w:rPr>
          <w:rFonts w:ascii="Times New Roman" w:hAnsi="Times New Roman"/>
        </w:rPr>
        <w:t xml:space="preserve"> of 136 students did not attend any GW class.</w:t>
      </w:r>
    </w:p>
    <w:p w14:paraId="7ABF382B" w14:textId="59F7CA48" w:rsidR="005F7DFF" w:rsidRDefault="00DA257D" w:rsidP="005F7DFF">
      <w:pPr>
        <w:rPr>
          <w:rFonts w:ascii="Times New Roman" w:hAnsi="Times New Roman"/>
        </w:rPr>
      </w:pPr>
      <w:r>
        <w:rPr>
          <w:rFonts w:ascii="Times New Roman" w:hAnsi="Times New Roman"/>
        </w:rPr>
        <w:t>Figure 8</w:t>
      </w:r>
      <w:r w:rsidR="005F7DFF">
        <w:rPr>
          <w:rFonts w:ascii="Times New Roman" w:hAnsi="Times New Roman"/>
        </w:rPr>
        <w:t xml:space="preserve">. Distribution of </w:t>
      </w:r>
      <w:r w:rsidR="002E1C75">
        <w:rPr>
          <w:rFonts w:ascii="Times New Roman" w:hAnsi="Times New Roman"/>
        </w:rPr>
        <w:t>Former EPI Students</w:t>
      </w:r>
      <w:r w:rsidR="007B56D9">
        <w:rPr>
          <w:rFonts w:ascii="Times New Roman" w:hAnsi="Times New Roman"/>
        </w:rPr>
        <w:t>’</w:t>
      </w:r>
      <w:r w:rsidR="002E1C75">
        <w:rPr>
          <w:rFonts w:ascii="Times New Roman" w:hAnsi="Times New Roman"/>
        </w:rPr>
        <w:t xml:space="preserve"> grades at RV</w:t>
      </w:r>
      <w:r w:rsidR="005F7DFF">
        <w:rPr>
          <w:rFonts w:ascii="Times New Roman" w:hAnsi="Times New Roman"/>
        </w:rPr>
        <w:t xml:space="preserve"> level 4, 5 and 6</w:t>
      </w:r>
    </w:p>
    <w:p w14:paraId="6FDDCA5C" w14:textId="6072A3C2" w:rsidR="008A2583" w:rsidRDefault="00DA257D" w:rsidP="00C97598">
      <w:pPr>
        <w:rPr>
          <w:rFonts w:ascii="Times New Roman" w:hAnsi="Times New Roman"/>
          <w:b/>
        </w:rPr>
      </w:pPr>
      <w:r>
        <w:rPr>
          <w:noProof/>
        </w:rPr>
        <w:drawing>
          <wp:inline distT="0" distB="0" distL="0" distR="0" wp14:anchorId="29013F7E" wp14:editId="34F02A42">
            <wp:extent cx="3480435" cy="1866900"/>
            <wp:effectExtent l="0" t="0" r="24765"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6BB35D" w14:textId="663D633E" w:rsidR="002E1C75" w:rsidRDefault="00E72A11" w:rsidP="002E1C75">
      <w:pPr>
        <w:rPr>
          <w:rFonts w:ascii="Times New Roman" w:hAnsi="Times New Roman"/>
        </w:rPr>
      </w:pPr>
      <w:r>
        <w:rPr>
          <w:rFonts w:ascii="Times New Roman" w:hAnsi="Times New Roman"/>
        </w:rPr>
        <w:t>2.2.2 Students’ RV</w:t>
      </w:r>
      <w:r w:rsidR="002E1C75">
        <w:rPr>
          <w:rFonts w:ascii="Times New Roman" w:hAnsi="Times New Roman"/>
        </w:rPr>
        <w:t xml:space="preserve"> grades at </w:t>
      </w:r>
      <w:r w:rsidR="00575D7C">
        <w:rPr>
          <w:rFonts w:ascii="Times New Roman" w:hAnsi="Times New Roman"/>
        </w:rPr>
        <w:t xml:space="preserve">class </w:t>
      </w:r>
      <w:r w:rsidR="002E1C75">
        <w:rPr>
          <w:rFonts w:ascii="Times New Roman" w:hAnsi="Times New Roman"/>
        </w:rPr>
        <w:t>level 5 and academic achievement at USC</w:t>
      </w:r>
    </w:p>
    <w:p w14:paraId="7943B33F" w14:textId="3CDEFBB2" w:rsidR="00415D9F" w:rsidRPr="00FB2C88" w:rsidRDefault="00E72A11" w:rsidP="00B05CF2">
      <w:pPr>
        <w:rPr>
          <w:rFonts w:ascii="Times New Roman" w:hAnsi="Times New Roman" w:cs="Geneva"/>
          <w:color w:val="000000"/>
        </w:rPr>
      </w:pPr>
      <w:r w:rsidRPr="00D7793F">
        <w:rPr>
          <w:rFonts w:ascii="Times New Roman" w:hAnsi="Times New Roman" w:cs="Times New Roman"/>
          <w:color w:val="000000"/>
          <w:lang w:eastAsia="ko-KR"/>
        </w:rPr>
        <w:t xml:space="preserve">Due to the small number of </w:t>
      </w:r>
      <w:r w:rsidR="002E1C75" w:rsidRPr="00D7793F">
        <w:rPr>
          <w:rFonts w:ascii="Times New Roman" w:hAnsi="Times New Roman" w:cs="Times New Roman"/>
          <w:color w:val="000000"/>
          <w:lang w:eastAsia="ko-KR"/>
        </w:rPr>
        <w:t>student</w:t>
      </w:r>
      <w:r w:rsidRPr="00D7793F">
        <w:rPr>
          <w:rFonts w:ascii="Times New Roman" w:hAnsi="Times New Roman" w:cs="Times New Roman"/>
          <w:color w:val="000000"/>
          <w:lang w:eastAsia="ko-KR"/>
        </w:rPr>
        <w:t xml:space="preserve">s that attended Level 4 classes, </w:t>
      </w:r>
      <w:r w:rsidR="007B56D9" w:rsidRPr="00D7793F">
        <w:rPr>
          <w:rFonts w:ascii="Times New Roman" w:hAnsi="Times New Roman" w:cs="Times New Roman"/>
          <w:color w:val="000000"/>
          <w:lang w:eastAsia="ko-KR"/>
        </w:rPr>
        <w:t xml:space="preserve">as in the case of GW classes, </w:t>
      </w:r>
      <w:r w:rsidRPr="00D7793F">
        <w:rPr>
          <w:rFonts w:ascii="Times New Roman" w:hAnsi="Times New Roman" w:cs="Times New Roman"/>
          <w:color w:val="000000"/>
          <w:lang w:eastAsia="ko-KR"/>
        </w:rPr>
        <w:t xml:space="preserve">the </w:t>
      </w:r>
      <w:r w:rsidR="002E1C75" w:rsidRPr="00D7793F">
        <w:rPr>
          <w:rFonts w:ascii="Times New Roman" w:hAnsi="Times New Roman" w:cs="Times New Roman"/>
          <w:color w:val="000000"/>
          <w:lang w:eastAsia="ko-KR"/>
        </w:rPr>
        <w:t xml:space="preserve">analyses </w:t>
      </w:r>
      <w:r w:rsidRPr="00D7793F">
        <w:rPr>
          <w:rFonts w:ascii="Times New Roman" w:hAnsi="Times New Roman" w:cs="Times New Roman"/>
          <w:color w:val="000000"/>
          <w:lang w:eastAsia="ko-KR"/>
        </w:rPr>
        <w:t xml:space="preserve">for students’ </w:t>
      </w:r>
      <w:r w:rsidR="007B56D9" w:rsidRPr="00D7793F">
        <w:rPr>
          <w:rFonts w:ascii="Times New Roman" w:hAnsi="Times New Roman" w:cs="Times New Roman"/>
          <w:color w:val="000000"/>
          <w:lang w:eastAsia="ko-KR"/>
        </w:rPr>
        <w:t>academic work and RV grade levels</w:t>
      </w:r>
      <w:r w:rsidRPr="00D7793F">
        <w:rPr>
          <w:rFonts w:ascii="Times New Roman" w:hAnsi="Times New Roman" w:cs="Times New Roman"/>
          <w:color w:val="000000"/>
          <w:lang w:eastAsia="ko-KR"/>
        </w:rPr>
        <w:t xml:space="preserve"> focus </w:t>
      </w:r>
      <w:r w:rsidR="002E1C75" w:rsidRPr="00D7793F">
        <w:rPr>
          <w:rFonts w:ascii="Times New Roman" w:hAnsi="Times New Roman" w:cs="Times New Roman"/>
          <w:color w:val="000000"/>
          <w:lang w:eastAsia="ko-KR"/>
        </w:rPr>
        <w:t>on</w:t>
      </w:r>
      <w:r w:rsidR="002E1C75">
        <w:rPr>
          <w:rFonts w:ascii="바탕" w:hAnsi="바탕" w:cs="바탕"/>
          <w:color w:val="000000"/>
          <w:lang w:eastAsia="ko-KR"/>
        </w:rPr>
        <w:t xml:space="preserve"> </w:t>
      </w:r>
      <w:r w:rsidR="007B56D9">
        <w:rPr>
          <w:rFonts w:ascii="Times New Roman" w:hAnsi="Times New Roman" w:cs="Geneva"/>
          <w:color w:val="000000"/>
        </w:rPr>
        <w:t>level 5 and level 6</w:t>
      </w:r>
      <w:r w:rsidR="002E1C75">
        <w:rPr>
          <w:rFonts w:ascii="Times New Roman" w:hAnsi="Times New Roman" w:cs="Geneva"/>
          <w:color w:val="000000"/>
        </w:rPr>
        <w:t xml:space="preserve">. </w:t>
      </w:r>
      <w:r w:rsidR="00603A80">
        <w:rPr>
          <w:rFonts w:ascii="Times New Roman" w:hAnsi="Times New Roman" w:cs="Geneva"/>
          <w:color w:val="000000"/>
        </w:rPr>
        <w:t>Unlike GW classes and</w:t>
      </w:r>
      <w:r>
        <w:rPr>
          <w:rFonts w:ascii="Times New Roman" w:hAnsi="Times New Roman" w:cs="Geneva"/>
          <w:color w:val="000000"/>
        </w:rPr>
        <w:t xml:space="preserve"> as Table 9 and Figure 9</w:t>
      </w:r>
      <w:r w:rsidR="007B56D9" w:rsidRPr="007B56D9">
        <w:rPr>
          <w:rFonts w:ascii="Times New Roman" w:hAnsi="Times New Roman" w:cs="Geneva"/>
          <w:color w:val="000000"/>
        </w:rPr>
        <w:t xml:space="preserve"> </w:t>
      </w:r>
      <w:r w:rsidR="007B56D9">
        <w:rPr>
          <w:rFonts w:ascii="Times New Roman" w:hAnsi="Times New Roman" w:cs="Geneva"/>
          <w:color w:val="000000"/>
        </w:rPr>
        <w:t>show</w:t>
      </w:r>
      <w:r>
        <w:rPr>
          <w:rFonts w:ascii="Times New Roman" w:hAnsi="Times New Roman" w:cs="Geneva"/>
          <w:color w:val="000000"/>
        </w:rPr>
        <w:t>, students’ average GPA and average scores from English 101 and 102 courses do not seem to have a correlation with the grade levels that they</w:t>
      </w:r>
      <w:r w:rsidR="00143128">
        <w:rPr>
          <w:rFonts w:ascii="Times New Roman" w:hAnsi="Times New Roman" w:cs="Geneva"/>
          <w:color w:val="000000"/>
        </w:rPr>
        <w:t xml:space="preserve"> earned </w:t>
      </w:r>
      <w:r>
        <w:rPr>
          <w:rFonts w:ascii="Times New Roman" w:hAnsi="Times New Roman" w:cs="Geneva"/>
          <w:color w:val="000000"/>
        </w:rPr>
        <w:t xml:space="preserve">from their level 5 classes. </w:t>
      </w:r>
      <w:r w:rsidR="00415D9F">
        <w:rPr>
          <w:rFonts w:ascii="Times New Roman" w:hAnsi="Times New Roman" w:cs="Geneva"/>
          <w:color w:val="000000"/>
        </w:rPr>
        <w:t xml:space="preserve">First of all, the performance level at USC of grade B students was not lower </w:t>
      </w:r>
      <w:r w:rsidR="00E05D7D">
        <w:rPr>
          <w:rFonts w:ascii="Times New Roman" w:hAnsi="Times New Roman" w:cs="Geneva"/>
          <w:color w:val="000000"/>
        </w:rPr>
        <w:t xml:space="preserve">in terms of GPA and mean grade from English 102 </w:t>
      </w:r>
      <w:r w:rsidR="00415D9F">
        <w:rPr>
          <w:rFonts w:ascii="Times New Roman" w:hAnsi="Times New Roman" w:cs="Geneva"/>
          <w:color w:val="000000"/>
        </w:rPr>
        <w:t xml:space="preserve">than </w:t>
      </w:r>
      <w:r w:rsidR="00E05D7D">
        <w:rPr>
          <w:rFonts w:ascii="Times New Roman" w:hAnsi="Times New Roman" w:cs="Geneva"/>
          <w:color w:val="000000"/>
        </w:rPr>
        <w:t>grade A students, except for the mean grade from Englis</w:t>
      </w:r>
      <w:r w:rsidR="00B05CF2">
        <w:rPr>
          <w:rFonts w:ascii="Times New Roman" w:hAnsi="Times New Roman" w:cs="Geneva"/>
          <w:color w:val="000000"/>
        </w:rPr>
        <w:t xml:space="preserve">h 101, although it follows </w:t>
      </w:r>
      <w:r w:rsidR="00E05D7D">
        <w:rPr>
          <w:rFonts w:ascii="Times New Roman" w:hAnsi="Times New Roman" w:cs="Geneva"/>
          <w:color w:val="000000"/>
        </w:rPr>
        <w:t>a normal trend that</w:t>
      </w:r>
      <w:r w:rsidR="00415D9F">
        <w:rPr>
          <w:rFonts w:ascii="Times New Roman" w:hAnsi="Times New Roman" w:cs="Geneva"/>
          <w:color w:val="000000"/>
        </w:rPr>
        <w:t xml:space="preserve"> </w:t>
      </w:r>
      <w:r w:rsidR="00E05D7D">
        <w:rPr>
          <w:rFonts w:ascii="Times New Roman" w:hAnsi="Times New Roman" w:cs="Geneva"/>
          <w:color w:val="000000"/>
        </w:rPr>
        <w:t xml:space="preserve">grade C students </w:t>
      </w:r>
      <w:r w:rsidR="00415D9F">
        <w:rPr>
          <w:rFonts w:ascii="Times New Roman" w:hAnsi="Times New Roman" w:cs="Geneva"/>
          <w:color w:val="000000"/>
        </w:rPr>
        <w:t xml:space="preserve">were assigned the lowest scores. What is most weird was the case of </w:t>
      </w:r>
      <w:r w:rsidR="008B1197">
        <w:rPr>
          <w:rFonts w:ascii="Times New Roman" w:hAnsi="Times New Roman" w:cs="Geneva"/>
          <w:color w:val="000000"/>
        </w:rPr>
        <w:t>D-F</w:t>
      </w:r>
      <w:r w:rsidR="00415D9F">
        <w:rPr>
          <w:rFonts w:ascii="Times New Roman" w:hAnsi="Times New Roman" w:cs="Geneva"/>
          <w:color w:val="000000"/>
        </w:rPr>
        <w:t xml:space="preserve"> group of students that got the highest GPA</w:t>
      </w:r>
      <w:r w:rsidR="00E05D7D">
        <w:rPr>
          <w:rFonts w:ascii="Times New Roman" w:hAnsi="Times New Roman" w:cs="Geneva"/>
          <w:color w:val="000000"/>
        </w:rPr>
        <w:t xml:space="preserve"> and an intermediate level of grade from English 101; however, it is not so </w:t>
      </w:r>
      <w:r w:rsidR="00415D9F">
        <w:rPr>
          <w:rFonts w:ascii="Times New Roman" w:hAnsi="Times New Roman" w:cs="Geneva"/>
          <w:color w:val="000000"/>
        </w:rPr>
        <w:t>meaningful because the group has only one stude</w:t>
      </w:r>
      <w:r w:rsidR="00E05D7D">
        <w:rPr>
          <w:rFonts w:ascii="Times New Roman" w:hAnsi="Times New Roman" w:cs="Geneva"/>
          <w:color w:val="000000"/>
        </w:rPr>
        <w:t>nt available for both the measures</w:t>
      </w:r>
      <w:r w:rsidR="00415D9F">
        <w:rPr>
          <w:rFonts w:ascii="Times New Roman" w:hAnsi="Times New Roman" w:cs="Geneva"/>
          <w:color w:val="000000"/>
        </w:rPr>
        <w:t xml:space="preserve">. </w:t>
      </w:r>
      <w:r w:rsidR="00E05D7D">
        <w:rPr>
          <w:rFonts w:ascii="Times New Roman" w:hAnsi="Times New Roman" w:cs="Geneva"/>
          <w:color w:val="000000"/>
        </w:rPr>
        <w:t>Second, t</w:t>
      </w:r>
      <w:r w:rsidR="00415D9F">
        <w:rPr>
          <w:rFonts w:ascii="Times New Roman" w:hAnsi="Times New Roman" w:cs="Geneva"/>
          <w:color w:val="000000"/>
        </w:rPr>
        <w:t xml:space="preserve">he score for the </w:t>
      </w:r>
      <w:r w:rsidR="008B1197">
        <w:rPr>
          <w:rFonts w:ascii="Times New Roman" w:hAnsi="Times New Roman" w:cs="Geneva"/>
          <w:color w:val="000000"/>
        </w:rPr>
        <w:t>D-F</w:t>
      </w:r>
      <w:r w:rsidR="00415D9F">
        <w:rPr>
          <w:rFonts w:ascii="Times New Roman" w:hAnsi="Times New Roman" w:cs="Geneva"/>
          <w:color w:val="000000"/>
        </w:rPr>
        <w:t xml:space="preserve"> group</w:t>
      </w:r>
      <w:r w:rsidR="008B1197">
        <w:rPr>
          <w:rFonts w:ascii="Times New Roman" w:hAnsi="Times New Roman" w:cs="Geneva"/>
          <w:color w:val="000000"/>
        </w:rPr>
        <w:t xml:space="preserve"> was</w:t>
      </w:r>
      <w:r w:rsidR="00415D9F">
        <w:rPr>
          <w:rFonts w:ascii="Times New Roman" w:hAnsi="Times New Roman" w:cs="Geneva"/>
          <w:color w:val="000000"/>
        </w:rPr>
        <w:t xml:space="preserve"> ignored for the same reason</w:t>
      </w:r>
      <w:r w:rsidR="008B1197">
        <w:rPr>
          <w:rFonts w:ascii="Times New Roman" w:hAnsi="Times New Roman" w:cs="Geneva"/>
          <w:color w:val="000000"/>
        </w:rPr>
        <w:t>;</w:t>
      </w:r>
      <w:r w:rsidR="00415D9F">
        <w:rPr>
          <w:rFonts w:ascii="Times New Roman" w:hAnsi="Times New Roman" w:cs="Geneva"/>
          <w:color w:val="000000"/>
        </w:rPr>
        <w:t xml:space="preserve"> the comparison of students’ grade levels and the</w:t>
      </w:r>
      <w:r w:rsidR="00B05CF2">
        <w:rPr>
          <w:rFonts w:ascii="Times New Roman" w:hAnsi="Times New Roman" w:cs="Geneva"/>
          <w:color w:val="000000"/>
        </w:rPr>
        <w:t>ir</w:t>
      </w:r>
      <w:r w:rsidR="00415D9F">
        <w:rPr>
          <w:rFonts w:ascii="Times New Roman" w:hAnsi="Times New Roman" w:cs="Geneva"/>
          <w:color w:val="000000"/>
        </w:rPr>
        <w:t xml:space="preserve"> </w:t>
      </w:r>
      <w:r w:rsidR="00E05D7D">
        <w:rPr>
          <w:rFonts w:ascii="Times New Roman" w:hAnsi="Times New Roman" w:cs="Geneva"/>
          <w:color w:val="000000"/>
        </w:rPr>
        <w:t>scores from English 101 do</w:t>
      </w:r>
      <w:r w:rsidR="00415D9F">
        <w:rPr>
          <w:rFonts w:ascii="Times New Roman" w:hAnsi="Times New Roman" w:cs="Geneva"/>
          <w:color w:val="000000"/>
        </w:rPr>
        <w:t xml:space="preserve"> not show a clear correlation, </w:t>
      </w:r>
      <w:r w:rsidR="00E05D7D">
        <w:rPr>
          <w:rFonts w:ascii="Times New Roman" w:hAnsi="Times New Roman" w:cs="Geneva"/>
          <w:color w:val="000000"/>
        </w:rPr>
        <w:t xml:space="preserve">due to the absence of significant difference between grade B and grade C students. Overall, the grade </w:t>
      </w:r>
      <w:r w:rsidR="00150E18">
        <w:rPr>
          <w:rFonts w:ascii="Times New Roman" w:hAnsi="Times New Roman" w:cs="Geneva"/>
          <w:color w:val="000000"/>
        </w:rPr>
        <w:t>levels at RV level 5 classes have</w:t>
      </w:r>
      <w:r w:rsidR="00E05D7D">
        <w:rPr>
          <w:rFonts w:ascii="Times New Roman" w:hAnsi="Times New Roman" w:cs="Geneva"/>
          <w:color w:val="000000"/>
        </w:rPr>
        <w:t xml:space="preserve"> much less power in predicting the performance level </w:t>
      </w:r>
      <w:r w:rsidR="0089298B">
        <w:rPr>
          <w:rFonts w:ascii="Times New Roman" w:hAnsi="Times New Roman" w:cs="Geneva"/>
          <w:color w:val="000000"/>
        </w:rPr>
        <w:t>of students in college.</w:t>
      </w:r>
    </w:p>
    <w:p w14:paraId="1CCD011B" w14:textId="22183F53" w:rsidR="002E1C75" w:rsidRDefault="002E1C75" w:rsidP="002E1C75">
      <w:pPr>
        <w:rPr>
          <w:rFonts w:ascii="Times New Roman" w:hAnsi="Times New Roman" w:cs="Geneva"/>
          <w:color w:val="000000"/>
        </w:rPr>
      </w:pPr>
    </w:p>
    <w:p w14:paraId="402A097C" w14:textId="77777777" w:rsidR="007B56D9" w:rsidRDefault="007B56D9" w:rsidP="007B56D9">
      <w:pPr>
        <w:rPr>
          <w:rFonts w:ascii="Times New Roman" w:hAnsi="Times New Roman"/>
        </w:rPr>
      </w:pPr>
      <w:r>
        <w:rPr>
          <w:rFonts w:ascii="Times New Roman" w:hAnsi="Times New Roman"/>
        </w:rPr>
        <w:t>Table 9. Level 5 Students’ RV Grades vs. Average GPAs and Scores from English 101 and 102</w:t>
      </w:r>
    </w:p>
    <w:tbl>
      <w:tblPr>
        <w:tblStyle w:val="TableGrid"/>
        <w:tblW w:w="0" w:type="auto"/>
        <w:tblInd w:w="108" w:type="dxa"/>
        <w:tblLayout w:type="fixed"/>
        <w:tblLook w:val="04A0" w:firstRow="1" w:lastRow="0" w:firstColumn="1" w:lastColumn="0" w:noHBand="0" w:noVBand="1"/>
      </w:tblPr>
      <w:tblGrid>
        <w:gridCol w:w="1800"/>
        <w:gridCol w:w="1080"/>
        <w:gridCol w:w="1530"/>
        <w:gridCol w:w="2160"/>
      </w:tblGrid>
      <w:tr w:rsidR="007B56D9" w:rsidRPr="00E72A11" w14:paraId="527BD449" w14:textId="77777777" w:rsidTr="007B56D9">
        <w:trPr>
          <w:trHeight w:val="300"/>
        </w:trPr>
        <w:tc>
          <w:tcPr>
            <w:tcW w:w="1800" w:type="dxa"/>
            <w:noWrap/>
            <w:hideMark/>
          </w:tcPr>
          <w:p w14:paraId="27BA9F6F" w14:textId="77777777" w:rsidR="007B56D9" w:rsidRPr="00E72A11" w:rsidRDefault="007B56D9" w:rsidP="007B56D9">
            <w:pPr>
              <w:jc w:val="center"/>
              <w:rPr>
                <w:rFonts w:ascii="Times New Roman" w:hAnsi="Times New Roman"/>
              </w:rPr>
            </w:pPr>
            <w:r w:rsidRPr="00E72A11">
              <w:rPr>
                <w:rFonts w:ascii="Times New Roman" w:hAnsi="Times New Roman"/>
              </w:rPr>
              <w:t>EPI RV Grades</w:t>
            </w:r>
          </w:p>
        </w:tc>
        <w:tc>
          <w:tcPr>
            <w:tcW w:w="1080" w:type="dxa"/>
            <w:noWrap/>
            <w:hideMark/>
          </w:tcPr>
          <w:p w14:paraId="3D832071" w14:textId="77777777" w:rsidR="007B56D9" w:rsidRPr="00E72A11" w:rsidRDefault="007B56D9" w:rsidP="007B56D9">
            <w:pPr>
              <w:jc w:val="center"/>
              <w:rPr>
                <w:rFonts w:ascii="Times New Roman" w:hAnsi="Times New Roman"/>
              </w:rPr>
            </w:pPr>
            <w:r w:rsidRPr="00E72A11">
              <w:rPr>
                <w:rFonts w:ascii="Times New Roman" w:hAnsi="Times New Roman"/>
              </w:rPr>
              <w:t>GPA</w:t>
            </w:r>
          </w:p>
        </w:tc>
        <w:tc>
          <w:tcPr>
            <w:tcW w:w="1530" w:type="dxa"/>
            <w:noWrap/>
            <w:hideMark/>
          </w:tcPr>
          <w:p w14:paraId="6A8074F3" w14:textId="77777777" w:rsidR="007B56D9" w:rsidRPr="00E72A11" w:rsidRDefault="007B56D9" w:rsidP="007B56D9">
            <w:pPr>
              <w:jc w:val="center"/>
              <w:rPr>
                <w:rFonts w:ascii="Times New Roman" w:hAnsi="Times New Roman"/>
              </w:rPr>
            </w:pPr>
            <w:r w:rsidRPr="00E72A11">
              <w:rPr>
                <w:rFonts w:ascii="Times New Roman" w:hAnsi="Times New Roman"/>
              </w:rPr>
              <w:t>English 101</w:t>
            </w:r>
          </w:p>
        </w:tc>
        <w:tc>
          <w:tcPr>
            <w:tcW w:w="2160" w:type="dxa"/>
            <w:noWrap/>
            <w:hideMark/>
          </w:tcPr>
          <w:p w14:paraId="5D138FAD" w14:textId="77777777" w:rsidR="007B56D9" w:rsidRPr="00E72A11" w:rsidRDefault="007B56D9" w:rsidP="007B56D9">
            <w:pPr>
              <w:jc w:val="center"/>
              <w:rPr>
                <w:rFonts w:ascii="Times New Roman" w:hAnsi="Times New Roman"/>
              </w:rPr>
            </w:pPr>
            <w:r w:rsidRPr="00E72A11">
              <w:rPr>
                <w:rFonts w:ascii="Times New Roman" w:hAnsi="Times New Roman"/>
              </w:rPr>
              <w:t>English 102</w:t>
            </w:r>
          </w:p>
        </w:tc>
      </w:tr>
      <w:tr w:rsidR="007B56D9" w:rsidRPr="00E72A11" w14:paraId="61B2E4E0" w14:textId="77777777" w:rsidTr="007B56D9">
        <w:trPr>
          <w:trHeight w:val="300"/>
        </w:trPr>
        <w:tc>
          <w:tcPr>
            <w:tcW w:w="1800" w:type="dxa"/>
            <w:noWrap/>
            <w:hideMark/>
          </w:tcPr>
          <w:p w14:paraId="738BD8B2" w14:textId="77777777" w:rsidR="007B56D9" w:rsidRPr="00E72A11" w:rsidRDefault="007B56D9" w:rsidP="007B56D9">
            <w:pPr>
              <w:jc w:val="center"/>
              <w:rPr>
                <w:rFonts w:ascii="Times New Roman" w:hAnsi="Times New Roman"/>
              </w:rPr>
            </w:pPr>
            <w:r w:rsidRPr="00E72A11">
              <w:rPr>
                <w:rFonts w:ascii="Times New Roman" w:hAnsi="Times New Roman"/>
              </w:rPr>
              <w:t>5a</w:t>
            </w:r>
          </w:p>
        </w:tc>
        <w:tc>
          <w:tcPr>
            <w:tcW w:w="1080" w:type="dxa"/>
            <w:hideMark/>
          </w:tcPr>
          <w:p w14:paraId="57051F3F" w14:textId="77777777" w:rsidR="007B56D9" w:rsidRPr="00E72A11" w:rsidRDefault="007B56D9" w:rsidP="007B56D9">
            <w:pPr>
              <w:jc w:val="center"/>
              <w:rPr>
                <w:rFonts w:ascii="Times New Roman" w:hAnsi="Times New Roman"/>
              </w:rPr>
            </w:pPr>
            <w:r w:rsidRPr="00E72A11">
              <w:rPr>
                <w:rFonts w:ascii="Times New Roman" w:hAnsi="Times New Roman"/>
              </w:rPr>
              <w:t>3.27</w:t>
            </w:r>
          </w:p>
        </w:tc>
        <w:tc>
          <w:tcPr>
            <w:tcW w:w="1530" w:type="dxa"/>
            <w:hideMark/>
          </w:tcPr>
          <w:p w14:paraId="7A8C9404" w14:textId="77777777" w:rsidR="007B56D9" w:rsidRPr="00E72A11" w:rsidRDefault="007B56D9" w:rsidP="007B56D9">
            <w:pPr>
              <w:jc w:val="center"/>
              <w:rPr>
                <w:rFonts w:ascii="Times New Roman" w:hAnsi="Times New Roman"/>
              </w:rPr>
            </w:pPr>
            <w:r w:rsidRPr="00E72A11">
              <w:rPr>
                <w:rFonts w:ascii="Times New Roman" w:hAnsi="Times New Roman"/>
              </w:rPr>
              <w:t>3.25</w:t>
            </w:r>
          </w:p>
        </w:tc>
        <w:tc>
          <w:tcPr>
            <w:tcW w:w="2160" w:type="dxa"/>
            <w:hideMark/>
          </w:tcPr>
          <w:p w14:paraId="7E175F60" w14:textId="77777777" w:rsidR="007B56D9" w:rsidRPr="00E72A11" w:rsidRDefault="007B56D9" w:rsidP="007B56D9">
            <w:pPr>
              <w:jc w:val="center"/>
              <w:rPr>
                <w:rFonts w:ascii="Times New Roman" w:hAnsi="Times New Roman"/>
              </w:rPr>
            </w:pPr>
            <w:r w:rsidRPr="00E72A11">
              <w:rPr>
                <w:rFonts w:ascii="Times New Roman" w:hAnsi="Times New Roman"/>
              </w:rPr>
              <w:t>3.50</w:t>
            </w:r>
          </w:p>
        </w:tc>
      </w:tr>
      <w:tr w:rsidR="007B56D9" w:rsidRPr="00E72A11" w14:paraId="26C64E63" w14:textId="77777777" w:rsidTr="007B56D9">
        <w:trPr>
          <w:trHeight w:val="300"/>
        </w:trPr>
        <w:tc>
          <w:tcPr>
            <w:tcW w:w="1800" w:type="dxa"/>
            <w:noWrap/>
            <w:hideMark/>
          </w:tcPr>
          <w:p w14:paraId="27036115" w14:textId="77777777" w:rsidR="007B56D9" w:rsidRPr="00E72A11" w:rsidRDefault="007B56D9" w:rsidP="007B56D9">
            <w:pPr>
              <w:jc w:val="center"/>
              <w:rPr>
                <w:rFonts w:ascii="Times New Roman" w:hAnsi="Times New Roman"/>
              </w:rPr>
            </w:pPr>
            <w:r w:rsidRPr="00E72A11">
              <w:rPr>
                <w:rFonts w:ascii="Times New Roman" w:hAnsi="Times New Roman"/>
              </w:rPr>
              <w:t>5b</w:t>
            </w:r>
          </w:p>
        </w:tc>
        <w:tc>
          <w:tcPr>
            <w:tcW w:w="1080" w:type="dxa"/>
            <w:noWrap/>
            <w:hideMark/>
          </w:tcPr>
          <w:p w14:paraId="47B03832" w14:textId="77777777" w:rsidR="007B56D9" w:rsidRPr="00E72A11" w:rsidRDefault="007B56D9" w:rsidP="007B56D9">
            <w:pPr>
              <w:jc w:val="center"/>
              <w:rPr>
                <w:rFonts w:ascii="Times New Roman" w:hAnsi="Times New Roman"/>
              </w:rPr>
            </w:pPr>
            <w:r w:rsidRPr="00BD442D">
              <w:rPr>
                <w:rFonts w:ascii="Times New Roman" w:hAnsi="Times New Roman"/>
                <w:highlight w:val="yellow"/>
              </w:rPr>
              <w:t>3.39</w:t>
            </w:r>
          </w:p>
        </w:tc>
        <w:tc>
          <w:tcPr>
            <w:tcW w:w="1530" w:type="dxa"/>
            <w:noWrap/>
            <w:hideMark/>
          </w:tcPr>
          <w:p w14:paraId="4E68C0A3" w14:textId="77777777" w:rsidR="007B56D9" w:rsidRPr="00E72A11" w:rsidRDefault="007B56D9" w:rsidP="007B56D9">
            <w:pPr>
              <w:jc w:val="center"/>
              <w:rPr>
                <w:rFonts w:ascii="Times New Roman" w:hAnsi="Times New Roman"/>
              </w:rPr>
            </w:pPr>
            <w:r w:rsidRPr="00E72A11">
              <w:rPr>
                <w:rFonts w:ascii="Times New Roman" w:hAnsi="Times New Roman"/>
              </w:rPr>
              <w:t>2.79</w:t>
            </w:r>
          </w:p>
        </w:tc>
        <w:tc>
          <w:tcPr>
            <w:tcW w:w="2160" w:type="dxa"/>
            <w:noWrap/>
            <w:hideMark/>
          </w:tcPr>
          <w:p w14:paraId="23B30B54" w14:textId="77777777" w:rsidR="007B56D9" w:rsidRPr="00E72A11" w:rsidRDefault="007B56D9" w:rsidP="007B56D9">
            <w:pPr>
              <w:jc w:val="center"/>
              <w:rPr>
                <w:rFonts w:ascii="Times New Roman" w:hAnsi="Times New Roman"/>
              </w:rPr>
            </w:pPr>
            <w:r w:rsidRPr="00E72A11">
              <w:rPr>
                <w:rFonts w:ascii="Times New Roman" w:hAnsi="Times New Roman"/>
              </w:rPr>
              <w:t>3.50</w:t>
            </w:r>
          </w:p>
        </w:tc>
      </w:tr>
      <w:tr w:rsidR="007B56D9" w:rsidRPr="00E72A11" w14:paraId="57EEE17E" w14:textId="77777777" w:rsidTr="007B56D9">
        <w:trPr>
          <w:trHeight w:val="300"/>
        </w:trPr>
        <w:tc>
          <w:tcPr>
            <w:tcW w:w="1800" w:type="dxa"/>
            <w:noWrap/>
            <w:hideMark/>
          </w:tcPr>
          <w:p w14:paraId="20BA00A3" w14:textId="77777777" w:rsidR="007B56D9" w:rsidRPr="00E72A11" w:rsidRDefault="007B56D9" w:rsidP="007B56D9">
            <w:pPr>
              <w:jc w:val="center"/>
              <w:rPr>
                <w:rFonts w:ascii="Times New Roman" w:hAnsi="Times New Roman"/>
              </w:rPr>
            </w:pPr>
            <w:r w:rsidRPr="00E72A11">
              <w:rPr>
                <w:rFonts w:ascii="Times New Roman" w:hAnsi="Times New Roman"/>
              </w:rPr>
              <w:t>5c</w:t>
            </w:r>
          </w:p>
        </w:tc>
        <w:tc>
          <w:tcPr>
            <w:tcW w:w="1080" w:type="dxa"/>
            <w:noWrap/>
            <w:hideMark/>
          </w:tcPr>
          <w:p w14:paraId="1AB72A6F" w14:textId="77777777" w:rsidR="007B56D9" w:rsidRPr="00E72A11" w:rsidRDefault="007B56D9" w:rsidP="007B56D9">
            <w:pPr>
              <w:jc w:val="center"/>
              <w:rPr>
                <w:rFonts w:ascii="Times New Roman" w:hAnsi="Times New Roman"/>
              </w:rPr>
            </w:pPr>
            <w:r w:rsidRPr="00E72A11">
              <w:rPr>
                <w:rFonts w:ascii="Times New Roman" w:hAnsi="Times New Roman"/>
              </w:rPr>
              <w:t>2.78</w:t>
            </w:r>
          </w:p>
        </w:tc>
        <w:tc>
          <w:tcPr>
            <w:tcW w:w="1530" w:type="dxa"/>
            <w:noWrap/>
            <w:hideMark/>
          </w:tcPr>
          <w:p w14:paraId="7FE3A728" w14:textId="77777777" w:rsidR="007B56D9" w:rsidRPr="00E72A11" w:rsidRDefault="007B56D9" w:rsidP="007B56D9">
            <w:pPr>
              <w:jc w:val="center"/>
              <w:rPr>
                <w:rFonts w:ascii="Times New Roman" w:hAnsi="Times New Roman"/>
              </w:rPr>
            </w:pPr>
            <w:r w:rsidRPr="00E72A11">
              <w:rPr>
                <w:rFonts w:ascii="Times New Roman" w:hAnsi="Times New Roman"/>
              </w:rPr>
              <w:t>2.67</w:t>
            </w:r>
          </w:p>
        </w:tc>
        <w:tc>
          <w:tcPr>
            <w:tcW w:w="2160" w:type="dxa"/>
            <w:noWrap/>
            <w:hideMark/>
          </w:tcPr>
          <w:p w14:paraId="5B90AAA2" w14:textId="77777777" w:rsidR="007B56D9" w:rsidRPr="00E72A11" w:rsidRDefault="007B56D9" w:rsidP="007B56D9">
            <w:pPr>
              <w:jc w:val="center"/>
              <w:rPr>
                <w:rFonts w:ascii="Times New Roman" w:hAnsi="Times New Roman"/>
              </w:rPr>
            </w:pPr>
            <w:r w:rsidRPr="00E72A11">
              <w:rPr>
                <w:rFonts w:ascii="Times New Roman" w:hAnsi="Times New Roman"/>
              </w:rPr>
              <w:t>3.25</w:t>
            </w:r>
          </w:p>
        </w:tc>
      </w:tr>
      <w:tr w:rsidR="007B56D9" w:rsidRPr="00E72A11" w14:paraId="365CF889" w14:textId="77777777" w:rsidTr="007B56D9">
        <w:trPr>
          <w:trHeight w:val="300"/>
        </w:trPr>
        <w:tc>
          <w:tcPr>
            <w:tcW w:w="1800" w:type="dxa"/>
            <w:noWrap/>
            <w:hideMark/>
          </w:tcPr>
          <w:p w14:paraId="024D740C" w14:textId="77777777" w:rsidR="007B56D9" w:rsidRPr="00E72A11" w:rsidRDefault="007B56D9" w:rsidP="007B56D9">
            <w:pPr>
              <w:jc w:val="center"/>
              <w:rPr>
                <w:rFonts w:ascii="Times New Roman" w:hAnsi="Times New Roman"/>
              </w:rPr>
            </w:pPr>
            <w:r w:rsidRPr="00E72A11">
              <w:rPr>
                <w:rFonts w:ascii="Times New Roman" w:hAnsi="Times New Roman"/>
              </w:rPr>
              <w:t>5d-5f</w:t>
            </w:r>
          </w:p>
        </w:tc>
        <w:tc>
          <w:tcPr>
            <w:tcW w:w="1080" w:type="dxa"/>
            <w:noWrap/>
            <w:hideMark/>
          </w:tcPr>
          <w:p w14:paraId="70699898" w14:textId="77777777" w:rsidR="007B56D9" w:rsidRPr="00E72A11" w:rsidRDefault="007B56D9" w:rsidP="007B56D9">
            <w:pPr>
              <w:jc w:val="center"/>
              <w:rPr>
                <w:rFonts w:ascii="Times New Roman" w:hAnsi="Times New Roman"/>
              </w:rPr>
            </w:pPr>
            <w:r w:rsidRPr="00BD442D">
              <w:rPr>
                <w:rFonts w:ascii="Times New Roman" w:hAnsi="Times New Roman"/>
                <w:highlight w:val="yellow"/>
              </w:rPr>
              <w:t>3.85</w:t>
            </w:r>
          </w:p>
        </w:tc>
        <w:tc>
          <w:tcPr>
            <w:tcW w:w="1530" w:type="dxa"/>
            <w:noWrap/>
            <w:hideMark/>
          </w:tcPr>
          <w:p w14:paraId="1E0FEDD1" w14:textId="77777777" w:rsidR="007B56D9" w:rsidRPr="00E72A11" w:rsidRDefault="007B56D9" w:rsidP="007B56D9">
            <w:pPr>
              <w:jc w:val="center"/>
              <w:rPr>
                <w:rFonts w:ascii="Times New Roman" w:hAnsi="Times New Roman"/>
              </w:rPr>
            </w:pPr>
            <w:r w:rsidRPr="00BD442D">
              <w:rPr>
                <w:rFonts w:ascii="Times New Roman" w:hAnsi="Times New Roman"/>
                <w:highlight w:val="yellow"/>
              </w:rPr>
              <w:t>3.00</w:t>
            </w:r>
          </w:p>
        </w:tc>
        <w:tc>
          <w:tcPr>
            <w:tcW w:w="2160" w:type="dxa"/>
            <w:noWrap/>
            <w:hideMark/>
          </w:tcPr>
          <w:p w14:paraId="64233960" w14:textId="77777777" w:rsidR="007B56D9" w:rsidRPr="00E72A11" w:rsidRDefault="007B56D9" w:rsidP="007B56D9">
            <w:pPr>
              <w:jc w:val="center"/>
              <w:rPr>
                <w:rFonts w:ascii="Times New Roman" w:hAnsi="Times New Roman"/>
              </w:rPr>
            </w:pPr>
          </w:p>
        </w:tc>
      </w:tr>
    </w:tbl>
    <w:p w14:paraId="27B75F63" w14:textId="77777777" w:rsidR="007B56D9" w:rsidRDefault="007B56D9" w:rsidP="007B56D9">
      <w:pPr>
        <w:rPr>
          <w:rFonts w:ascii="Times New Roman" w:hAnsi="Times New Roman"/>
        </w:rPr>
      </w:pPr>
    </w:p>
    <w:p w14:paraId="40D3149C" w14:textId="77777777" w:rsidR="007B56D9" w:rsidRDefault="007B56D9" w:rsidP="007B56D9">
      <w:pPr>
        <w:rPr>
          <w:noProof/>
        </w:rPr>
      </w:pPr>
      <w:r>
        <w:rPr>
          <w:rFonts w:ascii="Times New Roman" w:hAnsi="Times New Roman"/>
        </w:rPr>
        <w:t>Figure 9. Level 5 Students’ GPA and Grades by EPI Levels and Grades</w:t>
      </w:r>
      <w:r>
        <w:rPr>
          <w:noProof/>
        </w:rPr>
        <w:t xml:space="preserve"> </w:t>
      </w:r>
    </w:p>
    <w:p w14:paraId="7CCA6E9F" w14:textId="77777777" w:rsidR="007B56D9" w:rsidRDefault="007B56D9" w:rsidP="007B56D9">
      <w:pPr>
        <w:rPr>
          <w:rFonts w:ascii="Times New Roman" w:hAnsi="Times New Roman"/>
          <w:b/>
        </w:rPr>
      </w:pPr>
      <w:r>
        <w:rPr>
          <w:noProof/>
        </w:rPr>
        <w:t xml:space="preserve"> </w:t>
      </w:r>
      <w:r>
        <w:rPr>
          <w:noProof/>
        </w:rPr>
        <w:drawing>
          <wp:inline distT="0" distB="0" distL="0" distR="0" wp14:anchorId="7D02D4AD" wp14:editId="70A5E80E">
            <wp:extent cx="3335655" cy="1922780"/>
            <wp:effectExtent l="0" t="0" r="17145" b="3302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10B008" w14:textId="29D0565C" w:rsidR="002E1C75" w:rsidRDefault="002E1C75" w:rsidP="002E1C75">
      <w:pPr>
        <w:rPr>
          <w:rFonts w:ascii="Times New Roman" w:hAnsi="Times New Roman" w:cs="Geneva"/>
          <w:color w:val="000000"/>
        </w:rPr>
      </w:pPr>
    </w:p>
    <w:p w14:paraId="7C192CF6" w14:textId="43F0262B" w:rsidR="00CA0289" w:rsidRDefault="00FB2C88" w:rsidP="002E1C75">
      <w:pPr>
        <w:rPr>
          <w:rFonts w:ascii="Times New Roman" w:hAnsi="Times New Roman"/>
        </w:rPr>
      </w:pPr>
      <w:r>
        <w:rPr>
          <w:rFonts w:ascii="Times New Roman" w:hAnsi="Times New Roman"/>
        </w:rPr>
        <w:t>2.2</w:t>
      </w:r>
      <w:r w:rsidR="002E1C75">
        <w:rPr>
          <w:rFonts w:ascii="Times New Roman" w:hAnsi="Times New Roman"/>
        </w:rPr>
        <w:t xml:space="preserve">.3 </w:t>
      </w:r>
      <w:r w:rsidR="00B05CF2">
        <w:rPr>
          <w:rFonts w:ascii="Times New Roman" w:hAnsi="Times New Roman"/>
        </w:rPr>
        <w:t>Students’ RV</w:t>
      </w:r>
      <w:r w:rsidR="00CA0289">
        <w:rPr>
          <w:rFonts w:ascii="Times New Roman" w:hAnsi="Times New Roman"/>
        </w:rPr>
        <w:t xml:space="preserve"> grades at level 6 and academic achievement at USC </w:t>
      </w:r>
    </w:p>
    <w:p w14:paraId="3DD47633" w14:textId="1987024D" w:rsidR="00CA0289" w:rsidRDefault="00B05CF2" w:rsidP="002E1C75">
      <w:pPr>
        <w:rPr>
          <w:rFonts w:ascii="Times New Roman" w:hAnsi="Times New Roman"/>
        </w:rPr>
      </w:pPr>
      <w:r>
        <w:rPr>
          <w:rFonts w:ascii="Times New Roman" w:hAnsi="Times New Roman" w:cs="Geneva"/>
          <w:color w:val="000000"/>
        </w:rPr>
        <w:t>Like RV level 5 students, students at RV level 6 did not show a linear correlation between their grade levels at EPI and their academic measures about GPA and grading scores from English 101 and 102</w:t>
      </w:r>
      <w:r w:rsidR="00AA71B9">
        <w:rPr>
          <w:rFonts w:ascii="Times New Roman" w:hAnsi="Times New Roman" w:cs="Geneva"/>
          <w:color w:val="000000"/>
        </w:rPr>
        <w:t>, as Table 9 and Figure 9</w:t>
      </w:r>
      <w:r w:rsidR="00AA71B9" w:rsidRPr="007B56D9">
        <w:rPr>
          <w:rFonts w:ascii="Times New Roman" w:hAnsi="Times New Roman" w:cs="Geneva"/>
          <w:color w:val="000000"/>
        </w:rPr>
        <w:t xml:space="preserve"> </w:t>
      </w:r>
      <w:r w:rsidR="002817F6">
        <w:rPr>
          <w:rFonts w:ascii="Times New Roman" w:hAnsi="Times New Roman" w:cs="Geneva"/>
          <w:color w:val="000000"/>
        </w:rPr>
        <w:t>show.  S</w:t>
      </w:r>
      <w:r w:rsidR="00AA71B9">
        <w:rPr>
          <w:rFonts w:ascii="Times New Roman" w:hAnsi="Times New Roman" w:cs="Geneva"/>
          <w:color w:val="000000"/>
        </w:rPr>
        <w:t xml:space="preserve">tudents’ average GPA and average scores from English 101 and 102 courses do not seem to have a correlation with the grade levels that they earned from their level 5 classes. First of all, the performance level at USC of grade B students was not lower in terms of GPA and mean grade from English 102 than grade A students, except for the mean grade from English 101, although it follows from a normal trend that grade C students were assigned the lowest scores. What is most weird was the case of </w:t>
      </w:r>
      <w:r w:rsidR="007F1F95">
        <w:rPr>
          <w:rFonts w:ascii="Times New Roman" w:hAnsi="Times New Roman" w:cs="Geneva"/>
          <w:color w:val="000000"/>
        </w:rPr>
        <w:t>D-F</w:t>
      </w:r>
      <w:r w:rsidR="00AA71B9">
        <w:rPr>
          <w:rFonts w:ascii="Times New Roman" w:hAnsi="Times New Roman" w:cs="Geneva"/>
          <w:color w:val="000000"/>
        </w:rPr>
        <w:t xml:space="preserve"> group of students that got the highest GPA and an intermediate level of grade from English 101; however, it is not so meaningful because the group has only one student available for both the measures. Second, the score for the </w:t>
      </w:r>
      <w:r w:rsidR="00811124">
        <w:rPr>
          <w:rFonts w:ascii="Times New Roman" w:hAnsi="Times New Roman" w:cs="Geneva"/>
          <w:color w:val="000000"/>
        </w:rPr>
        <w:t>D-F</w:t>
      </w:r>
      <w:r w:rsidR="00AA71B9">
        <w:rPr>
          <w:rFonts w:ascii="Times New Roman" w:hAnsi="Times New Roman" w:cs="Geneva"/>
          <w:color w:val="000000"/>
        </w:rPr>
        <w:t xml:space="preserve"> group</w:t>
      </w:r>
      <w:r w:rsidR="00811124">
        <w:rPr>
          <w:rFonts w:ascii="Times New Roman" w:hAnsi="Times New Roman" w:cs="Geneva"/>
          <w:color w:val="000000"/>
        </w:rPr>
        <w:t xml:space="preserve"> was</w:t>
      </w:r>
      <w:r w:rsidR="00AA71B9">
        <w:rPr>
          <w:rFonts w:ascii="Times New Roman" w:hAnsi="Times New Roman" w:cs="Geneva"/>
          <w:color w:val="000000"/>
        </w:rPr>
        <w:t xml:space="preserve"> ignored for the same reason</w:t>
      </w:r>
      <w:r w:rsidR="004B5FAC">
        <w:rPr>
          <w:rFonts w:ascii="Times New Roman" w:hAnsi="Times New Roman" w:cs="Geneva"/>
          <w:color w:val="000000"/>
        </w:rPr>
        <w:t xml:space="preserve">:  </w:t>
      </w:r>
      <w:r w:rsidR="00AA71B9">
        <w:rPr>
          <w:rFonts w:ascii="Times New Roman" w:hAnsi="Times New Roman" w:cs="Geneva"/>
          <w:color w:val="000000"/>
        </w:rPr>
        <w:t>the comparison of students’ grade levels and the scores from English 101 do not show a clear correlation, due to the absence of significant difference between grade B and grade C students. Overall, the grade levels at RV level 5 classes have much less power in predicting the performance level of students in college.</w:t>
      </w:r>
    </w:p>
    <w:p w14:paraId="1AC74B96" w14:textId="77777777" w:rsidR="00CA0289" w:rsidRDefault="00CA0289" w:rsidP="002E1C75">
      <w:pPr>
        <w:rPr>
          <w:rFonts w:ascii="Times New Roman" w:hAnsi="Times New Roman"/>
        </w:rPr>
      </w:pPr>
    </w:p>
    <w:p w14:paraId="15D5BD5B" w14:textId="7E812038" w:rsidR="005A4CC0" w:rsidRDefault="005A4CC0" w:rsidP="005A4CC0">
      <w:pPr>
        <w:rPr>
          <w:rFonts w:ascii="Times New Roman" w:hAnsi="Times New Roman"/>
        </w:rPr>
      </w:pPr>
      <w:r>
        <w:rPr>
          <w:rFonts w:ascii="Times New Roman" w:hAnsi="Times New Roman"/>
        </w:rPr>
        <w:t>Table 10. Level 6 Students’ RV Grades vs. mean GPAs and Scores from English 101 and 102</w:t>
      </w:r>
    </w:p>
    <w:p w14:paraId="6AAB70C9" w14:textId="77777777" w:rsidR="00CA0289" w:rsidRDefault="00CA0289" w:rsidP="002E1C75">
      <w:pPr>
        <w:rPr>
          <w:rFonts w:ascii="바탕" w:hAnsi="바탕" w:cs="바탕"/>
          <w:lang w:eastAsia="ko-KR"/>
        </w:rPr>
      </w:pPr>
    </w:p>
    <w:tbl>
      <w:tblPr>
        <w:tblStyle w:val="TableGrid"/>
        <w:tblW w:w="0" w:type="auto"/>
        <w:tblInd w:w="108" w:type="dxa"/>
        <w:tblLayout w:type="fixed"/>
        <w:tblLook w:val="04A0" w:firstRow="1" w:lastRow="0" w:firstColumn="1" w:lastColumn="0" w:noHBand="0" w:noVBand="1"/>
      </w:tblPr>
      <w:tblGrid>
        <w:gridCol w:w="2610"/>
        <w:gridCol w:w="1440"/>
        <w:gridCol w:w="1440"/>
        <w:gridCol w:w="1530"/>
      </w:tblGrid>
      <w:tr w:rsidR="008A4FF4" w:rsidRPr="008A4FF4" w14:paraId="5AA6FB52" w14:textId="77777777" w:rsidTr="006E0458">
        <w:trPr>
          <w:trHeight w:val="460"/>
        </w:trPr>
        <w:tc>
          <w:tcPr>
            <w:tcW w:w="2610" w:type="dxa"/>
            <w:noWrap/>
            <w:hideMark/>
          </w:tcPr>
          <w:p w14:paraId="09FFC18F" w14:textId="77777777" w:rsidR="008A4FF4" w:rsidRPr="00663695" w:rsidRDefault="008A4FF4">
            <w:pPr>
              <w:rPr>
                <w:rFonts w:ascii="Times New Roman" w:hAnsi="Times New Roman" w:cs="Times New Roman"/>
                <w:lang w:eastAsia="ko-KR"/>
              </w:rPr>
            </w:pPr>
            <w:r w:rsidRPr="00663695">
              <w:rPr>
                <w:rFonts w:ascii="Times New Roman" w:hAnsi="Times New Roman" w:cs="Times New Roman"/>
                <w:lang w:eastAsia="ko-KR"/>
              </w:rPr>
              <w:t>Proportions of GW levels</w:t>
            </w:r>
          </w:p>
        </w:tc>
        <w:tc>
          <w:tcPr>
            <w:tcW w:w="1440" w:type="dxa"/>
            <w:noWrap/>
            <w:hideMark/>
          </w:tcPr>
          <w:p w14:paraId="33B13E47" w14:textId="07A8B24A" w:rsidR="008A4FF4" w:rsidRPr="00663695" w:rsidRDefault="008A4FF4">
            <w:pPr>
              <w:rPr>
                <w:rFonts w:ascii="Times New Roman" w:hAnsi="Times New Roman" w:cs="Times New Roman"/>
                <w:lang w:eastAsia="ko-KR"/>
              </w:rPr>
            </w:pPr>
            <w:r w:rsidRPr="00663695">
              <w:rPr>
                <w:rFonts w:ascii="Times New Roman" w:hAnsi="Times New Roman" w:cs="Times New Roman"/>
              </w:rPr>
              <w:t>English 101</w:t>
            </w:r>
          </w:p>
        </w:tc>
        <w:tc>
          <w:tcPr>
            <w:tcW w:w="1440" w:type="dxa"/>
            <w:noWrap/>
            <w:hideMark/>
          </w:tcPr>
          <w:p w14:paraId="31AEED88" w14:textId="577360C6" w:rsidR="008A4FF4" w:rsidRPr="00663695" w:rsidRDefault="008A4FF4">
            <w:pPr>
              <w:rPr>
                <w:rFonts w:ascii="Times New Roman" w:hAnsi="Times New Roman" w:cs="Times New Roman"/>
                <w:lang w:eastAsia="ko-KR"/>
              </w:rPr>
            </w:pPr>
            <w:r w:rsidRPr="00663695">
              <w:rPr>
                <w:rFonts w:ascii="Times New Roman" w:hAnsi="Times New Roman" w:cs="Times New Roman"/>
              </w:rPr>
              <w:t>English 102</w:t>
            </w:r>
          </w:p>
        </w:tc>
        <w:tc>
          <w:tcPr>
            <w:tcW w:w="1530" w:type="dxa"/>
            <w:noWrap/>
            <w:hideMark/>
          </w:tcPr>
          <w:p w14:paraId="1EDB35AD" w14:textId="430A2EA2" w:rsidR="008A4FF4" w:rsidRPr="00663695" w:rsidRDefault="008A4FF4">
            <w:pPr>
              <w:rPr>
                <w:rFonts w:ascii="Times New Roman" w:hAnsi="Times New Roman" w:cs="Times New Roman"/>
                <w:lang w:eastAsia="ko-KR"/>
              </w:rPr>
            </w:pPr>
            <w:r w:rsidRPr="00663695">
              <w:rPr>
                <w:rFonts w:ascii="Times New Roman" w:hAnsi="Times New Roman" w:cs="Times New Roman"/>
              </w:rPr>
              <w:t>English 101</w:t>
            </w:r>
          </w:p>
        </w:tc>
      </w:tr>
      <w:tr w:rsidR="008A4FF4" w:rsidRPr="008A4FF4" w14:paraId="335D1340" w14:textId="77777777" w:rsidTr="006E0458">
        <w:trPr>
          <w:trHeight w:val="300"/>
        </w:trPr>
        <w:tc>
          <w:tcPr>
            <w:tcW w:w="2610" w:type="dxa"/>
            <w:noWrap/>
            <w:hideMark/>
          </w:tcPr>
          <w:p w14:paraId="530471F3" w14:textId="77777777" w:rsidR="008A4FF4" w:rsidRPr="00663695" w:rsidRDefault="008A4FF4">
            <w:pPr>
              <w:rPr>
                <w:rFonts w:ascii="Times New Roman" w:hAnsi="Times New Roman" w:cs="Times New Roman"/>
                <w:lang w:eastAsia="ko-KR"/>
              </w:rPr>
            </w:pPr>
            <w:r w:rsidRPr="00663695">
              <w:rPr>
                <w:rFonts w:ascii="Times New Roman" w:hAnsi="Times New Roman" w:cs="Times New Roman"/>
                <w:lang w:eastAsia="ko-KR"/>
              </w:rPr>
              <w:t>6a</w:t>
            </w:r>
          </w:p>
        </w:tc>
        <w:tc>
          <w:tcPr>
            <w:tcW w:w="1440" w:type="dxa"/>
            <w:noWrap/>
            <w:hideMark/>
          </w:tcPr>
          <w:p w14:paraId="6C944619"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3.44</w:t>
            </w:r>
          </w:p>
        </w:tc>
        <w:tc>
          <w:tcPr>
            <w:tcW w:w="1440" w:type="dxa"/>
            <w:noWrap/>
            <w:hideMark/>
          </w:tcPr>
          <w:p w14:paraId="0F523096"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3.22</w:t>
            </w:r>
          </w:p>
        </w:tc>
        <w:tc>
          <w:tcPr>
            <w:tcW w:w="1530" w:type="dxa"/>
            <w:noWrap/>
            <w:hideMark/>
          </w:tcPr>
          <w:p w14:paraId="5F1E9593"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3.77</w:t>
            </w:r>
          </w:p>
        </w:tc>
      </w:tr>
      <w:tr w:rsidR="008A4FF4" w:rsidRPr="008A4FF4" w14:paraId="2EF0C40A" w14:textId="77777777" w:rsidTr="006E0458">
        <w:trPr>
          <w:trHeight w:val="300"/>
        </w:trPr>
        <w:tc>
          <w:tcPr>
            <w:tcW w:w="2610" w:type="dxa"/>
            <w:noWrap/>
            <w:hideMark/>
          </w:tcPr>
          <w:p w14:paraId="14B858D7" w14:textId="77777777" w:rsidR="008A4FF4" w:rsidRPr="00663695" w:rsidRDefault="008A4FF4">
            <w:pPr>
              <w:rPr>
                <w:rFonts w:ascii="Times New Roman" w:hAnsi="Times New Roman" w:cs="Times New Roman"/>
                <w:lang w:eastAsia="ko-KR"/>
              </w:rPr>
            </w:pPr>
            <w:r w:rsidRPr="00663695">
              <w:rPr>
                <w:rFonts w:ascii="Times New Roman" w:hAnsi="Times New Roman" w:cs="Times New Roman"/>
                <w:lang w:eastAsia="ko-KR"/>
              </w:rPr>
              <w:t>6b</w:t>
            </w:r>
          </w:p>
        </w:tc>
        <w:tc>
          <w:tcPr>
            <w:tcW w:w="1440" w:type="dxa"/>
            <w:noWrap/>
            <w:hideMark/>
          </w:tcPr>
          <w:p w14:paraId="7F34FABB"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3.29</w:t>
            </w:r>
          </w:p>
        </w:tc>
        <w:tc>
          <w:tcPr>
            <w:tcW w:w="1440" w:type="dxa"/>
            <w:noWrap/>
            <w:hideMark/>
          </w:tcPr>
          <w:p w14:paraId="2E83D4D7"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3.42</w:t>
            </w:r>
          </w:p>
        </w:tc>
        <w:tc>
          <w:tcPr>
            <w:tcW w:w="1530" w:type="dxa"/>
            <w:noWrap/>
            <w:hideMark/>
          </w:tcPr>
          <w:p w14:paraId="12890E28"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3.39</w:t>
            </w:r>
          </w:p>
        </w:tc>
      </w:tr>
      <w:tr w:rsidR="008A4FF4" w:rsidRPr="008A4FF4" w14:paraId="1B56BCD1" w14:textId="77777777" w:rsidTr="006E0458">
        <w:trPr>
          <w:trHeight w:val="460"/>
        </w:trPr>
        <w:tc>
          <w:tcPr>
            <w:tcW w:w="2610" w:type="dxa"/>
            <w:noWrap/>
            <w:hideMark/>
          </w:tcPr>
          <w:p w14:paraId="659D6D40" w14:textId="77777777" w:rsidR="008A4FF4" w:rsidRPr="00663695" w:rsidRDefault="008A4FF4">
            <w:pPr>
              <w:rPr>
                <w:rFonts w:ascii="Times New Roman" w:hAnsi="Times New Roman" w:cs="Times New Roman"/>
                <w:lang w:eastAsia="ko-KR"/>
              </w:rPr>
            </w:pPr>
            <w:r w:rsidRPr="00663695">
              <w:rPr>
                <w:rFonts w:ascii="Times New Roman" w:hAnsi="Times New Roman" w:cs="Times New Roman"/>
                <w:lang w:eastAsia="ko-KR"/>
              </w:rPr>
              <w:t>6c</w:t>
            </w:r>
          </w:p>
        </w:tc>
        <w:tc>
          <w:tcPr>
            <w:tcW w:w="1440" w:type="dxa"/>
            <w:noWrap/>
            <w:hideMark/>
          </w:tcPr>
          <w:p w14:paraId="6375243D"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3.51</w:t>
            </w:r>
          </w:p>
        </w:tc>
        <w:tc>
          <w:tcPr>
            <w:tcW w:w="1440" w:type="dxa"/>
            <w:noWrap/>
            <w:hideMark/>
          </w:tcPr>
          <w:p w14:paraId="1FFC18E5"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3.32</w:t>
            </w:r>
          </w:p>
        </w:tc>
        <w:tc>
          <w:tcPr>
            <w:tcW w:w="1530" w:type="dxa"/>
            <w:noWrap/>
            <w:hideMark/>
          </w:tcPr>
          <w:p w14:paraId="2553CFC7"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3.4</w:t>
            </w:r>
          </w:p>
        </w:tc>
      </w:tr>
      <w:tr w:rsidR="008A4FF4" w:rsidRPr="008A4FF4" w14:paraId="3CCDCC55" w14:textId="77777777" w:rsidTr="006E0458">
        <w:trPr>
          <w:trHeight w:val="300"/>
        </w:trPr>
        <w:tc>
          <w:tcPr>
            <w:tcW w:w="2610" w:type="dxa"/>
            <w:noWrap/>
            <w:hideMark/>
          </w:tcPr>
          <w:p w14:paraId="69966841" w14:textId="77777777" w:rsidR="008A4FF4" w:rsidRPr="00663695" w:rsidRDefault="008A4FF4">
            <w:pPr>
              <w:rPr>
                <w:rFonts w:ascii="Times New Roman" w:hAnsi="Times New Roman" w:cs="Times New Roman"/>
                <w:lang w:eastAsia="ko-KR"/>
              </w:rPr>
            </w:pPr>
            <w:r w:rsidRPr="00663695">
              <w:rPr>
                <w:rFonts w:ascii="Times New Roman" w:hAnsi="Times New Roman" w:cs="Times New Roman"/>
                <w:lang w:eastAsia="ko-KR"/>
              </w:rPr>
              <w:t>6d-6f</w:t>
            </w:r>
          </w:p>
        </w:tc>
        <w:tc>
          <w:tcPr>
            <w:tcW w:w="1440" w:type="dxa"/>
            <w:noWrap/>
            <w:hideMark/>
          </w:tcPr>
          <w:p w14:paraId="4A2A66A5"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2.93</w:t>
            </w:r>
          </w:p>
        </w:tc>
        <w:tc>
          <w:tcPr>
            <w:tcW w:w="1440" w:type="dxa"/>
            <w:noWrap/>
            <w:hideMark/>
          </w:tcPr>
          <w:p w14:paraId="57B0AA65"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3.06</w:t>
            </w:r>
          </w:p>
        </w:tc>
        <w:tc>
          <w:tcPr>
            <w:tcW w:w="1530" w:type="dxa"/>
            <w:noWrap/>
            <w:hideMark/>
          </w:tcPr>
          <w:p w14:paraId="2F85D875" w14:textId="77777777" w:rsidR="008A4FF4" w:rsidRPr="00663695" w:rsidRDefault="008A4FF4" w:rsidP="008A4FF4">
            <w:pPr>
              <w:rPr>
                <w:rFonts w:ascii="Times New Roman" w:hAnsi="Times New Roman" w:cs="Times New Roman"/>
                <w:lang w:eastAsia="ko-KR"/>
              </w:rPr>
            </w:pPr>
            <w:r w:rsidRPr="00663695">
              <w:rPr>
                <w:rFonts w:ascii="Times New Roman" w:hAnsi="Times New Roman" w:cs="Times New Roman"/>
                <w:lang w:eastAsia="ko-KR"/>
              </w:rPr>
              <w:t>3.5</w:t>
            </w:r>
          </w:p>
        </w:tc>
      </w:tr>
    </w:tbl>
    <w:p w14:paraId="59A97815" w14:textId="77777777" w:rsidR="008A4FF4" w:rsidRDefault="008A4FF4" w:rsidP="002E1C75">
      <w:pPr>
        <w:rPr>
          <w:rFonts w:ascii="바탕" w:hAnsi="바탕" w:cs="바탕"/>
          <w:lang w:eastAsia="ko-KR"/>
        </w:rPr>
      </w:pPr>
    </w:p>
    <w:p w14:paraId="5D6C7160" w14:textId="655D2DC0" w:rsidR="008A4FF4" w:rsidRPr="005A4CC0" w:rsidRDefault="005A4CC0" w:rsidP="002E1C75">
      <w:pPr>
        <w:rPr>
          <w:rFonts w:ascii="Times New Roman" w:hAnsi="Times New Roman"/>
          <w:lang w:eastAsia="ko-KR"/>
        </w:rPr>
      </w:pPr>
      <w:r>
        <w:rPr>
          <w:rFonts w:ascii="Times New Roman" w:hAnsi="Times New Roman"/>
        </w:rPr>
        <w:t>Figure 10. Level 6 Students’ RV Grades vs. mean GPAs and Scores from English 101 and 102</w:t>
      </w:r>
    </w:p>
    <w:p w14:paraId="244648BE" w14:textId="329A291C" w:rsidR="008A4FF4" w:rsidRPr="008A4FF4" w:rsidRDefault="008A4FF4" w:rsidP="002E1C75">
      <w:pPr>
        <w:rPr>
          <w:rFonts w:ascii="바탕" w:hAnsi="바탕" w:cs="바탕"/>
          <w:lang w:eastAsia="ko-KR"/>
        </w:rPr>
      </w:pPr>
      <w:r>
        <w:rPr>
          <w:noProof/>
        </w:rPr>
        <w:drawing>
          <wp:inline distT="0" distB="0" distL="0" distR="0" wp14:anchorId="5F27EA6A" wp14:editId="441B24F1">
            <wp:extent cx="3823335" cy="2687320"/>
            <wp:effectExtent l="0" t="0" r="37465" b="304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42462A" w14:textId="77777777" w:rsidR="00CA0289" w:rsidRDefault="00CA0289" w:rsidP="002E1C75">
      <w:pPr>
        <w:rPr>
          <w:rFonts w:ascii="Times New Roman" w:hAnsi="Times New Roman"/>
        </w:rPr>
      </w:pPr>
    </w:p>
    <w:p w14:paraId="606514FB" w14:textId="77777777" w:rsidR="00A343C7" w:rsidRDefault="00A343C7" w:rsidP="002E1C75">
      <w:pPr>
        <w:rPr>
          <w:rFonts w:ascii="Times New Roman" w:hAnsi="Times New Roman"/>
        </w:rPr>
      </w:pPr>
    </w:p>
    <w:p w14:paraId="20E2BC73" w14:textId="77777777" w:rsidR="00A343C7" w:rsidRDefault="00A343C7" w:rsidP="002E1C75">
      <w:pPr>
        <w:rPr>
          <w:rFonts w:ascii="Times New Roman" w:hAnsi="Times New Roman"/>
        </w:rPr>
      </w:pPr>
    </w:p>
    <w:p w14:paraId="703E04D6" w14:textId="4E12D12B" w:rsidR="002E1C75" w:rsidRDefault="00CA0289" w:rsidP="002E1C75">
      <w:pPr>
        <w:rPr>
          <w:rFonts w:ascii="Times New Roman" w:hAnsi="Times New Roman"/>
        </w:rPr>
      </w:pPr>
      <w:r>
        <w:rPr>
          <w:rFonts w:ascii="Times New Roman" w:hAnsi="Times New Roman"/>
        </w:rPr>
        <w:t xml:space="preserve">2.2.4 </w:t>
      </w:r>
      <w:r w:rsidR="002E1C75">
        <w:rPr>
          <w:rFonts w:ascii="Times New Roman" w:hAnsi="Times New Roman"/>
        </w:rPr>
        <w:t xml:space="preserve">Students’ academic achievement at USC and </w:t>
      </w:r>
      <w:r w:rsidR="009C4A98">
        <w:rPr>
          <w:rFonts w:ascii="Times New Roman" w:hAnsi="Times New Roman"/>
        </w:rPr>
        <w:t>RV class levels</w:t>
      </w:r>
      <w:r w:rsidR="002E1C75">
        <w:rPr>
          <w:rFonts w:ascii="Times New Roman" w:hAnsi="Times New Roman"/>
        </w:rPr>
        <w:t xml:space="preserve"> </w:t>
      </w:r>
    </w:p>
    <w:p w14:paraId="17DDF1D9" w14:textId="6FA64D17" w:rsidR="00603A80" w:rsidRDefault="00CA0289" w:rsidP="002E1C75">
      <w:pPr>
        <w:rPr>
          <w:rFonts w:ascii="Times New Roman" w:hAnsi="Times New Roman" w:cs="Geneva"/>
          <w:color w:val="000000"/>
        </w:rPr>
      </w:pPr>
      <w:r>
        <w:rPr>
          <w:rFonts w:ascii="Times New Roman" w:hAnsi="Times New Roman" w:cs="Geneva"/>
          <w:color w:val="000000"/>
        </w:rPr>
        <w:t>A</w:t>
      </w:r>
      <w:r w:rsidR="005A4CC0">
        <w:rPr>
          <w:rFonts w:ascii="Times New Roman" w:hAnsi="Times New Roman" w:cs="Geneva"/>
          <w:color w:val="000000"/>
        </w:rPr>
        <w:t>s Table 11</w:t>
      </w:r>
      <w:r w:rsidR="002E1C75">
        <w:rPr>
          <w:rFonts w:ascii="Times New Roman" w:hAnsi="Times New Roman" w:cs="Geneva"/>
          <w:color w:val="000000"/>
        </w:rPr>
        <w:t xml:space="preserve"> shows, </w:t>
      </w:r>
      <w:r w:rsidR="004F5B7A">
        <w:rPr>
          <w:rFonts w:ascii="Times New Roman" w:hAnsi="Times New Roman" w:cs="Geneva"/>
          <w:color w:val="000000"/>
        </w:rPr>
        <w:t xml:space="preserve">the comparison of </w:t>
      </w:r>
      <w:r w:rsidR="002E1C75">
        <w:rPr>
          <w:rFonts w:ascii="Times New Roman" w:hAnsi="Times New Roman" w:cs="Geneva"/>
          <w:color w:val="000000"/>
        </w:rPr>
        <w:t xml:space="preserve">the average GPAs and scores from English </w:t>
      </w:r>
      <w:r w:rsidR="004F5B7A">
        <w:rPr>
          <w:rFonts w:ascii="Times New Roman" w:hAnsi="Times New Roman" w:cs="Geneva"/>
          <w:color w:val="000000"/>
        </w:rPr>
        <w:t xml:space="preserve">101 and </w:t>
      </w:r>
      <w:r w:rsidR="002E1C75">
        <w:rPr>
          <w:rFonts w:ascii="Times New Roman" w:hAnsi="Times New Roman" w:cs="Geneva"/>
          <w:color w:val="000000"/>
        </w:rPr>
        <w:t xml:space="preserve">102 </w:t>
      </w:r>
      <w:r w:rsidR="00EC3A2A">
        <w:rPr>
          <w:rFonts w:ascii="Times New Roman" w:hAnsi="Times New Roman" w:cs="Geneva"/>
          <w:color w:val="000000"/>
        </w:rPr>
        <w:t>between level 5 and level 6 students</w:t>
      </w:r>
      <w:r w:rsidR="00EC3A2A" w:rsidRPr="00825702">
        <w:rPr>
          <w:rFonts w:ascii="Times New Roman" w:hAnsi="Times New Roman" w:cs="Geneva"/>
          <w:color w:val="000000"/>
        </w:rPr>
        <w:t xml:space="preserve"> </w:t>
      </w:r>
      <w:r w:rsidR="00EC3A2A">
        <w:rPr>
          <w:rFonts w:ascii="Times New Roman" w:hAnsi="Times New Roman" w:cs="Geneva"/>
          <w:color w:val="000000"/>
        </w:rPr>
        <w:t xml:space="preserve">across different EPI grades </w:t>
      </w:r>
      <w:r w:rsidR="004F5B7A">
        <w:rPr>
          <w:rFonts w:ascii="Times New Roman" w:hAnsi="Times New Roman" w:cs="Geneva"/>
          <w:color w:val="000000"/>
        </w:rPr>
        <w:t xml:space="preserve">did not show a </w:t>
      </w:r>
      <w:r w:rsidR="00EC3A2A">
        <w:rPr>
          <w:rFonts w:ascii="Times New Roman" w:hAnsi="Times New Roman" w:cs="Geneva"/>
          <w:color w:val="000000"/>
        </w:rPr>
        <w:t>uni</w:t>
      </w:r>
      <w:r w:rsidR="005A4CC0">
        <w:rPr>
          <w:rFonts w:ascii="Times New Roman" w:hAnsi="Times New Roman" w:cs="Geneva"/>
          <w:color w:val="000000"/>
        </w:rPr>
        <w:t xml:space="preserve">directional pattern of differences. </w:t>
      </w:r>
      <w:r w:rsidR="00EC3A2A">
        <w:rPr>
          <w:rFonts w:ascii="Times New Roman" w:hAnsi="Times New Roman" w:cs="Geneva"/>
          <w:color w:val="000000"/>
        </w:rPr>
        <w:t xml:space="preserve">Figure 10, </w:t>
      </w:r>
      <w:r w:rsidR="005A4CC0">
        <w:rPr>
          <w:rFonts w:ascii="Times New Roman" w:hAnsi="Times New Roman" w:cs="Geneva"/>
          <w:color w:val="000000"/>
        </w:rPr>
        <w:t xml:space="preserve">Figure 11, and Figure 12 show that </w:t>
      </w:r>
      <w:r w:rsidR="00EC3A2A">
        <w:rPr>
          <w:rFonts w:ascii="Times New Roman" w:hAnsi="Times New Roman" w:cs="Geneva"/>
          <w:color w:val="000000"/>
        </w:rPr>
        <w:t>the mean GPA</w:t>
      </w:r>
      <w:r w:rsidR="005A4CC0">
        <w:rPr>
          <w:rFonts w:ascii="Times New Roman" w:hAnsi="Times New Roman" w:cs="Geneva"/>
          <w:color w:val="000000"/>
        </w:rPr>
        <w:t xml:space="preserve">, the score from English 101, and the scores from English 102 respectively were higher </w:t>
      </w:r>
      <w:r w:rsidR="00603A80">
        <w:rPr>
          <w:rFonts w:ascii="Times New Roman" w:hAnsi="Times New Roman" w:cs="Geneva"/>
          <w:color w:val="000000"/>
        </w:rPr>
        <w:t xml:space="preserve">in some cases or lower in other cases for </w:t>
      </w:r>
      <w:r w:rsidR="005A4CC0">
        <w:rPr>
          <w:rFonts w:ascii="Times New Roman" w:hAnsi="Times New Roman" w:cs="Geneva"/>
          <w:color w:val="000000"/>
        </w:rPr>
        <w:t>level 5</w:t>
      </w:r>
      <w:r w:rsidR="00603A80">
        <w:rPr>
          <w:rFonts w:ascii="Times New Roman" w:hAnsi="Times New Roman" w:cs="Geneva"/>
          <w:color w:val="000000"/>
        </w:rPr>
        <w:t xml:space="preserve"> students</w:t>
      </w:r>
      <w:r w:rsidR="005A4CC0">
        <w:rPr>
          <w:rFonts w:ascii="Times New Roman" w:hAnsi="Times New Roman" w:cs="Geneva"/>
          <w:color w:val="000000"/>
        </w:rPr>
        <w:t xml:space="preserve"> than level 6 </w:t>
      </w:r>
      <w:r w:rsidR="00603A80">
        <w:rPr>
          <w:rFonts w:ascii="Times New Roman" w:hAnsi="Times New Roman" w:cs="Geneva"/>
          <w:color w:val="000000"/>
        </w:rPr>
        <w:t>students and in some cases in parallel between the two level students. This means that students’ difference in class level doesn’t have any correlation with their academic performance level in college and cannot have any predictive power for students</w:t>
      </w:r>
      <w:r w:rsidR="007D49CB">
        <w:rPr>
          <w:rFonts w:ascii="Times New Roman" w:hAnsi="Times New Roman" w:cs="Geneva"/>
          <w:color w:val="000000"/>
        </w:rPr>
        <w:t>’</w:t>
      </w:r>
      <w:r w:rsidR="00603A80">
        <w:rPr>
          <w:rFonts w:ascii="Times New Roman" w:hAnsi="Times New Roman" w:cs="Geneva"/>
          <w:color w:val="000000"/>
        </w:rPr>
        <w:t xml:space="preserve"> academic ability.</w:t>
      </w:r>
    </w:p>
    <w:p w14:paraId="0D4EAE2F" w14:textId="77777777" w:rsidR="002E1C75" w:rsidRDefault="002E1C75" w:rsidP="002E1C75">
      <w:pPr>
        <w:rPr>
          <w:rFonts w:ascii="Times New Roman" w:hAnsi="Times New Roman"/>
          <w:b/>
        </w:rPr>
      </w:pPr>
    </w:p>
    <w:p w14:paraId="1E7CF8F9" w14:textId="07B6B91D" w:rsidR="002E1C75" w:rsidRDefault="005A4CC0" w:rsidP="002E1C75">
      <w:pPr>
        <w:rPr>
          <w:rFonts w:ascii="Times New Roman" w:hAnsi="Times New Roman"/>
        </w:rPr>
      </w:pPr>
      <w:r>
        <w:rPr>
          <w:rFonts w:ascii="Times New Roman" w:hAnsi="Times New Roman"/>
        </w:rPr>
        <w:t>Table 11</w:t>
      </w:r>
      <w:r w:rsidR="009C4A98">
        <w:rPr>
          <w:rFonts w:ascii="Times New Roman" w:hAnsi="Times New Roman"/>
        </w:rPr>
        <w:t xml:space="preserve">. </w:t>
      </w:r>
      <w:r w:rsidR="00EC3A2A">
        <w:rPr>
          <w:rFonts w:ascii="Times New Roman" w:hAnsi="Times New Roman"/>
        </w:rPr>
        <w:t xml:space="preserve">The Comparison of </w:t>
      </w:r>
      <w:r w:rsidR="007702AE">
        <w:rPr>
          <w:rFonts w:ascii="Times New Roman" w:hAnsi="Times New Roman"/>
        </w:rPr>
        <w:t>Level 5 and Level 6 Students’ RV grades</w:t>
      </w:r>
      <w:r w:rsidR="007702AE" w:rsidRPr="009C4A98">
        <w:rPr>
          <w:rFonts w:ascii="Times New Roman" w:hAnsi="Times New Roman"/>
        </w:rPr>
        <w:t xml:space="preserve"> </w:t>
      </w:r>
      <w:r w:rsidR="007702AE">
        <w:rPr>
          <w:rFonts w:ascii="Times New Roman" w:hAnsi="Times New Roman"/>
        </w:rPr>
        <w:t>and academic work</w:t>
      </w:r>
    </w:p>
    <w:tbl>
      <w:tblPr>
        <w:tblStyle w:val="TableGrid"/>
        <w:tblW w:w="7994" w:type="dxa"/>
        <w:tblInd w:w="108" w:type="dxa"/>
        <w:tblLook w:val="04A0" w:firstRow="1" w:lastRow="0" w:firstColumn="1" w:lastColumn="0" w:noHBand="0" w:noVBand="1"/>
      </w:tblPr>
      <w:tblGrid>
        <w:gridCol w:w="1428"/>
        <w:gridCol w:w="1536"/>
        <w:gridCol w:w="1536"/>
        <w:gridCol w:w="1536"/>
        <w:gridCol w:w="1958"/>
      </w:tblGrid>
      <w:tr w:rsidR="009C4A98" w:rsidRPr="009C4A98" w14:paraId="7B789110" w14:textId="77777777" w:rsidTr="009C4A98">
        <w:trPr>
          <w:trHeight w:val="460"/>
        </w:trPr>
        <w:tc>
          <w:tcPr>
            <w:tcW w:w="1428" w:type="dxa"/>
            <w:noWrap/>
            <w:hideMark/>
          </w:tcPr>
          <w:p w14:paraId="4C29B319" w14:textId="77777777" w:rsidR="009C4A98" w:rsidRPr="009C4A98" w:rsidRDefault="009C4A98" w:rsidP="009C4A98">
            <w:pPr>
              <w:rPr>
                <w:rFonts w:ascii="Times New Roman" w:eastAsia="Times New Roman" w:hAnsi="Times New Roman" w:cs="Times New Roman"/>
                <w:color w:val="000000"/>
              </w:rPr>
            </w:pPr>
            <w:r w:rsidRPr="009C4A98">
              <w:rPr>
                <w:rFonts w:ascii="Times New Roman" w:eastAsia="Times New Roman" w:hAnsi="Times New Roman" w:cs="Times New Roman"/>
                <w:color w:val="000000"/>
              </w:rPr>
              <w:t>RV grades</w:t>
            </w:r>
          </w:p>
        </w:tc>
        <w:tc>
          <w:tcPr>
            <w:tcW w:w="1536" w:type="dxa"/>
            <w:noWrap/>
            <w:hideMark/>
          </w:tcPr>
          <w:p w14:paraId="76C89A60" w14:textId="77777777" w:rsidR="009C4A98" w:rsidRPr="009C4A98" w:rsidRDefault="009C4A98" w:rsidP="009C4A98">
            <w:pPr>
              <w:rPr>
                <w:rFonts w:ascii="Times New Roman" w:eastAsia="Times New Roman" w:hAnsi="Times New Roman" w:cs="Times New Roman"/>
                <w:color w:val="000000"/>
              </w:rPr>
            </w:pPr>
            <w:r w:rsidRPr="009C4A98">
              <w:rPr>
                <w:rFonts w:ascii="Times New Roman" w:eastAsia="Times New Roman" w:hAnsi="Times New Roman" w:cs="Times New Roman"/>
                <w:color w:val="000000"/>
              </w:rPr>
              <w:t>RV levels</w:t>
            </w:r>
          </w:p>
        </w:tc>
        <w:tc>
          <w:tcPr>
            <w:tcW w:w="1536" w:type="dxa"/>
            <w:noWrap/>
            <w:hideMark/>
          </w:tcPr>
          <w:p w14:paraId="08D73BFB" w14:textId="77777777" w:rsidR="009C4A98" w:rsidRPr="009C4A98" w:rsidRDefault="009C4A98" w:rsidP="009C4A98">
            <w:pPr>
              <w:rPr>
                <w:rFonts w:ascii="Times New Roman" w:eastAsia="Times New Roman" w:hAnsi="Times New Roman" w:cs="Times New Roman"/>
                <w:color w:val="000000"/>
              </w:rPr>
            </w:pPr>
            <w:r w:rsidRPr="009C4A98">
              <w:rPr>
                <w:rFonts w:ascii="Times New Roman" w:eastAsia="Times New Roman" w:hAnsi="Times New Roman" w:cs="Times New Roman"/>
                <w:color w:val="000000"/>
              </w:rPr>
              <w:t>GPA</w:t>
            </w:r>
          </w:p>
        </w:tc>
        <w:tc>
          <w:tcPr>
            <w:tcW w:w="1536" w:type="dxa"/>
            <w:noWrap/>
            <w:hideMark/>
          </w:tcPr>
          <w:p w14:paraId="4424BD43" w14:textId="77777777" w:rsidR="009C4A98" w:rsidRPr="009C4A98" w:rsidRDefault="009C4A98" w:rsidP="009C4A98">
            <w:pPr>
              <w:rPr>
                <w:rFonts w:ascii="Times New Roman" w:eastAsia="Times New Roman" w:hAnsi="Times New Roman" w:cs="Times New Roman"/>
                <w:color w:val="000000"/>
              </w:rPr>
            </w:pPr>
            <w:r w:rsidRPr="009C4A98">
              <w:rPr>
                <w:rFonts w:ascii="Times New Roman" w:eastAsia="Times New Roman" w:hAnsi="Times New Roman" w:cs="Times New Roman"/>
                <w:color w:val="000000"/>
              </w:rPr>
              <w:t>English 101</w:t>
            </w:r>
          </w:p>
        </w:tc>
        <w:tc>
          <w:tcPr>
            <w:tcW w:w="1958" w:type="dxa"/>
            <w:noWrap/>
            <w:hideMark/>
          </w:tcPr>
          <w:p w14:paraId="507D8C34" w14:textId="77777777" w:rsidR="009C4A98" w:rsidRPr="009C4A98" w:rsidRDefault="009C4A98" w:rsidP="009C4A98">
            <w:pPr>
              <w:rPr>
                <w:rFonts w:ascii="Times New Roman" w:eastAsia="Times New Roman" w:hAnsi="Times New Roman" w:cs="Times New Roman"/>
                <w:color w:val="000000"/>
              </w:rPr>
            </w:pPr>
            <w:r w:rsidRPr="009C4A98">
              <w:rPr>
                <w:rFonts w:ascii="Times New Roman" w:eastAsia="Times New Roman" w:hAnsi="Times New Roman" w:cs="Times New Roman"/>
                <w:color w:val="000000"/>
              </w:rPr>
              <w:t>English 102</w:t>
            </w:r>
          </w:p>
        </w:tc>
      </w:tr>
      <w:tr w:rsidR="009C4A98" w:rsidRPr="009C4A98" w14:paraId="58022C2E" w14:textId="77777777" w:rsidTr="009C4A98">
        <w:trPr>
          <w:trHeight w:val="320"/>
        </w:trPr>
        <w:tc>
          <w:tcPr>
            <w:tcW w:w="1428" w:type="dxa"/>
            <w:vMerge w:val="restart"/>
            <w:noWrap/>
            <w:hideMark/>
          </w:tcPr>
          <w:p w14:paraId="5B61FB69" w14:textId="699466E6" w:rsidR="009C4A98" w:rsidRPr="009C4A98" w:rsidRDefault="009570F0" w:rsidP="009C4A98">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536" w:type="dxa"/>
            <w:noWrap/>
            <w:hideMark/>
          </w:tcPr>
          <w:p w14:paraId="58F6DADD"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5</w:t>
            </w:r>
          </w:p>
        </w:tc>
        <w:tc>
          <w:tcPr>
            <w:tcW w:w="1536" w:type="dxa"/>
            <w:noWrap/>
            <w:hideMark/>
          </w:tcPr>
          <w:p w14:paraId="11372375" w14:textId="77777777" w:rsidR="009C4A98" w:rsidRPr="004F5B7A" w:rsidRDefault="009C4A98" w:rsidP="009C4A98">
            <w:pPr>
              <w:jc w:val="right"/>
              <w:rPr>
                <w:rFonts w:ascii="Times New Roman" w:eastAsia="Times New Roman" w:hAnsi="Times New Roman" w:cs="Times New Roman"/>
                <w:color w:val="000000"/>
              </w:rPr>
            </w:pPr>
            <w:r w:rsidRPr="004F5B7A">
              <w:rPr>
                <w:rFonts w:ascii="Times New Roman" w:eastAsia="Times New Roman" w:hAnsi="Times New Roman" w:cs="Times New Roman"/>
                <w:color w:val="000000"/>
              </w:rPr>
              <w:t>3.27</w:t>
            </w:r>
          </w:p>
        </w:tc>
        <w:tc>
          <w:tcPr>
            <w:tcW w:w="1536" w:type="dxa"/>
            <w:noWrap/>
            <w:hideMark/>
          </w:tcPr>
          <w:p w14:paraId="0B580ACF"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3.25</w:t>
            </w:r>
          </w:p>
        </w:tc>
        <w:tc>
          <w:tcPr>
            <w:tcW w:w="1958" w:type="dxa"/>
            <w:noWrap/>
            <w:hideMark/>
          </w:tcPr>
          <w:p w14:paraId="4BA36FBB"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3.5</w:t>
            </w:r>
          </w:p>
        </w:tc>
      </w:tr>
      <w:tr w:rsidR="009C4A98" w:rsidRPr="009C4A98" w14:paraId="6706CFFD" w14:textId="77777777" w:rsidTr="009C4A98">
        <w:trPr>
          <w:trHeight w:val="320"/>
        </w:trPr>
        <w:tc>
          <w:tcPr>
            <w:tcW w:w="1428" w:type="dxa"/>
            <w:vMerge/>
            <w:hideMark/>
          </w:tcPr>
          <w:p w14:paraId="6665B2FB" w14:textId="77777777" w:rsidR="009C4A98" w:rsidRPr="009C4A98" w:rsidRDefault="009C4A98" w:rsidP="009C4A98">
            <w:pPr>
              <w:rPr>
                <w:rFonts w:ascii="Times New Roman" w:eastAsia="Times New Roman" w:hAnsi="Times New Roman" w:cs="Times New Roman"/>
                <w:color w:val="000000"/>
              </w:rPr>
            </w:pPr>
          </w:p>
        </w:tc>
        <w:tc>
          <w:tcPr>
            <w:tcW w:w="1536" w:type="dxa"/>
            <w:noWrap/>
            <w:hideMark/>
          </w:tcPr>
          <w:p w14:paraId="669031F4"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6</w:t>
            </w:r>
          </w:p>
        </w:tc>
        <w:tc>
          <w:tcPr>
            <w:tcW w:w="1536" w:type="dxa"/>
            <w:noWrap/>
            <w:hideMark/>
          </w:tcPr>
          <w:p w14:paraId="44D957A0" w14:textId="77777777" w:rsidR="009C4A98" w:rsidRPr="004F5B7A" w:rsidRDefault="009C4A98" w:rsidP="009C4A98">
            <w:pPr>
              <w:jc w:val="right"/>
              <w:rPr>
                <w:rFonts w:ascii="Times New Roman" w:eastAsia="Times New Roman" w:hAnsi="Times New Roman" w:cs="Times New Roman"/>
                <w:color w:val="000000"/>
              </w:rPr>
            </w:pPr>
            <w:r w:rsidRPr="004F5B7A">
              <w:rPr>
                <w:rFonts w:ascii="Times New Roman" w:eastAsia="Times New Roman" w:hAnsi="Times New Roman" w:cs="Times New Roman"/>
                <w:color w:val="000000"/>
              </w:rPr>
              <w:t>3.44</w:t>
            </w:r>
          </w:p>
        </w:tc>
        <w:tc>
          <w:tcPr>
            <w:tcW w:w="1536" w:type="dxa"/>
            <w:noWrap/>
            <w:hideMark/>
          </w:tcPr>
          <w:p w14:paraId="610363DF"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3.22</w:t>
            </w:r>
          </w:p>
        </w:tc>
        <w:tc>
          <w:tcPr>
            <w:tcW w:w="1958" w:type="dxa"/>
            <w:noWrap/>
            <w:hideMark/>
          </w:tcPr>
          <w:p w14:paraId="5A1B5E8B"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3.77</w:t>
            </w:r>
          </w:p>
        </w:tc>
      </w:tr>
      <w:tr w:rsidR="009C4A98" w:rsidRPr="009C4A98" w14:paraId="3E00FB8E" w14:textId="77777777" w:rsidTr="009C4A98">
        <w:trPr>
          <w:trHeight w:val="320"/>
        </w:trPr>
        <w:tc>
          <w:tcPr>
            <w:tcW w:w="1428" w:type="dxa"/>
            <w:vMerge w:val="restart"/>
            <w:noWrap/>
            <w:hideMark/>
          </w:tcPr>
          <w:p w14:paraId="0B66006B" w14:textId="112CEB78" w:rsidR="009C4A98" w:rsidRPr="009C4A98" w:rsidRDefault="009570F0" w:rsidP="009C4A98">
            <w:pP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536" w:type="dxa"/>
            <w:noWrap/>
            <w:hideMark/>
          </w:tcPr>
          <w:p w14:paraId="632AC4BD"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5</w:t>
            </w:r>
          </w:p>
        </w:tc>
        <w:tc>
          <w:tcPr>
            <w:tcW w:w="1536" w:type="dxa"/>
            <w:noWrap/>
            <w:hideMark/>
          </w:tcPr>
          <w:p w14:paraId="7ACA6584" w14:textId="77777777" w:rsidR="009C4A98" w:rsidRPr="004F5B7A" w:rsidRDefault="009C4A98" w:rsidP="009C4A98">
            <w:pPr>
              <w:jc w:val="right"/>
              <w:rPr>
                <w:rFonts w:ascii="Times New Roman" w:eastAsia="Times New Roman" w:hAnsi="Times New Roman" w:cs="Times New Roman"/>
                <w:color w:val="000000"/>
              </w:rPr>
            </w:pPr>
            <w:r w:rsidRPr="004F5B7A">
              <w:rPr>
                <w:rFonts w:ascii="Times New Roman" w:eastAsia="Times New Roman" w:hAnsi="Times New Roman" w:cs="Times New Roman"/>
                <w:color w:val="000000"/>
              </w:rPr>
              <w:t>3.39</w:t>
            </w:r>
          </w:p>
        </w:tc>
        <w:tc>
          <w:tcPr>
            <w:tcW w:w="1536" w:type="dxa"/>
            <w:noWrap/>
            <w:hideMark/>
          </w:tcPr>
          <w:p w14:paraId="41A57782"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2.79</w:t>
            </w:r>
          </w:p>
        </w:tc>
        <w:tc>
          <w:tcPr>
            <w:tcW w:w="1958" w:type="dxa"/>
            <w:noWrap/>
            <w:hideMark/>
          </w:tcPr>
          <w:p w14:paraId="03E68821"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3.5</w:t>
            </w:r>
          </w:p>
        </w:tc>
      </w:tr>
      <w:tr w:rsidR="009C4A98" w:rsidRPr="009C4A98" w14:paraId="7F51A3F3" w14:textId="77777777" w:rsidTr="009C4A98">
        <w:trPr>
          <w:trHeight w:val="320"/>
        </w:trPr>
        <w:tc>
          <w:tcPr>
            <w:tcW w:w="1428" w:type="dxa"/>
            <w:vMerge/>
            <w:hideMark/>
          </w:tcPr>
          <w:p w14:paraId="46BF5ED0" w14:textId="77777777" w:rsidR="009C4A98" w:rsidRPr="009C4A98" w:rsidRDefault="009C4A98" w:rsidP="009C4A98">
            <w:pPr>
              <w:rPr>
                <w:rFonts w:ascii="Times New Roman" w:eastAsia="Times New Roman" w:hAnsi="Times New Roman" w:cs="Times New Roman"/>
                <w:color w:val="000000"/>
              </w:rPr>
            </w:pPr>
          </w:p>
        </w:tc>
        <w:tc>
          <w:tcPr>
            <w:tcW w:w="1536" w:type="dxa"/>
            <w:noWrap/>
            <w:hideMark/>
          </w:tcPr>
          <w:p w14:paraId="36A51E71"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6</w:t>
            </w:r>
          </w:p>
        </w:tc>
        <w:tc>
          <w:tcPr>
            <w:tcW w:w="1536" w:type="dxa"/>
            <w:noWrap/>
            <w:hideMark/>
          </w:tcPr>
          <w:p w14:paraId="778D9676" w14:textId="77777777" w:rsidR="009C4A98" w:rsidRPr="004F5B7A" w:rsidRDefault="009C4A98" w:rsidP="009C4A98">
            <w:pPr>
              <w:jc w:val="right"/>
              <w:rPr>
                <w:rFonts w:ascii="Times New Roman" w:eastAsia="Times New Roman" w:hAnsi="Times New Roman" w:cs="Times New Roman"/>
                <w:color w:val="000000"/>
              </w:rPr>
            </w:pPr>
            <w:r w:rsidRPr="004F5B7A">
              <w:rPr>
                <w:rFonts w:ascii="Times New Roman" w:eastAsia="Times New Roman" w:hAnsi="Times New Roman" w:cs="Times New Roman"/>
                <w:color w:val="000000"/>
              </w:rPr>
              <w:t>3.29</w:t>
            </w:r>
          </w:p>
        </w:tc>
        <w:tc>
          <w:tcPr>
            <w:tcW w:w="1536" w:type="dxa"/>
            <w:noWrap/>
            <w:hideMark/>
          </w:tcPr>
          <w:p w14:paraId="0DD21CAA"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3.42</w:t>
            </w:r>
          </w:p>
        </w:tc>
        <w:tc>
          <w:tcPr>
            <w:tcW w:w="1958" w:type="dxa"/>
            <w:noWrap/>
            <w:hideMark/>
          </w:tcPr>
          <w:p w14:paraId="50A25988"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3.39</w:t>
            </w:r>
          </w:p>
        </w:tc>
      </w:tr>
      <w:tr w:rsidR="009C4A98" w:rsidRPr="009C4A98" w14:paraId="00F6DE99" w14:textId="77777777" w:rsidTr="009C4A98">
        <w:trPr>
          <w:trHeight w:val="460"/>
        </w:trPr>
        <w:tc>
          <w:tcPr>
            <w:tcW w:w="1428" w:type="dxa"/>
            <w:vMerge w:val="restart"/>
            <w:noWrap/>
            <w:hideMark/>
          </w:tcPr>
          <w:p w14:paraId="7A0B908B" w14:textId="7E9392F7" w:rsidR="009C4A98" w:rsidRPr="009C4A98" w:rsidRDefault="009570F0" w:rsidP="009C4A98">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536" w:type="dxa"/>
            <w:noWrap/>
            <w:hideMark/>
          </w:tcPr>
          <w:p w14:paraId="28B51AA9"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5</w:t>
            </w:r>
          </w:p>
        </w:tc>
        <w:tc>
          <w:tcPr>
            <w:tcW w:w="1536" w:type="dxa"/>
            <w:noWrap/>
            <w:hideMark/>
          </w:tcPr>
          <w:p w14:paraId="46CC8A1B" w14:textId="77777777" w:rsidR="009C4A98" w:rsidRPr="004F5B7A" w:rsidRDefault="009C4A98" w:rsidP="009C4A98">
            <w:pPr>
              <w:jc w:val="right"/>
              <w:rPr>
                <w:rFonts w:ascii="Times New Roman" w:eastAsia="Times New Roman" w:hAnsi="Times New Roman" w:cs="Times New Roman"/>
                <w:color w:val="000000"/>
              </w:rPr>
            </w:pPr>
            <w:r w:rsidRPr="004F5B7A">
              <w:rPr>
                <w:rFonts w:ascii="Times New Roman" w:eastAsia="Times New Roman" w:hAnsi="Times New Roman" w:cs="Times New Roman"/>
                <w:color w:val="000000"/>
              </w:rPr>
              <w:t>2.78</w:t>
            </w:r>
          </w:p>
        </w:tc>
        <w:tc>
          <w:tcPr>
            <w:tcW w:w="1536" w:type="dxa"/>
            <w:noWrap/>
            <w:hideMark/>
          </w:tcPr>
          <w:p w14:paraId="2FDAF6F1"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2.67</w:t>
            </w:r>
          </w:p>
        </w:tc>
        <w:tc>
          <w:tcPr>
            <w:tcW w:w="1958" w:type="dxa"/>
            <w:noWrap/>
            <w:hideMark/>
          </w:tcPr>
          <w:p w14:paraId="7E4039D0"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3.25</w:t>
            </w:r>
          </w:p>
        </w:tc>
      </w:tr>
      <w:tr w:rsidR="009C4A98" w:rsidRPr="009C4A98" w14:paraId="613A48CA" w14:textId="77777777" w:rsidTr="009C4A98">
        <w:trPr>
          <w:trHeight w:val="320"/>
        </w:trPr>
        <w:tc>
          <w:tcPr>
            <w:tcW w:w="1428" w:type="dxa"/>
            <w:vMerge/>
            <w:hideMark/>
          </w:tcPr>
          <w:p w14:paraId="19C634C7" w14:textId="77777777" w:rsidR="009C4A98" w:rsidRPr="009C4A98" w:rsidRDefault="009C4A98" w:rsidP="009C4A98">
            <w:pPr>
              <w:rPr>
                <w:rFonts w:ascii="Times New Roman" w:eastAsia="Times New Roman" w:hAnsi="Times New Roman" w:cs="Times New Roman"/>
                <w:color w:val="000000"/>
              </w:rPr>
            </w:pPr>
          </w:p>
        </w:tc>
        <w:tc>
          <w:tcPr>
            <w:tcW w:w="1536" w:type="dxa"/>
            <w:noWrap/>
            <w:hideMark/>
          </w:tcPr>
          <w:p w14:paraId="63E37BAD"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6</w:t>
            </w:r>
          </w:p>
        </w:tc>
        <w:tc>
          <w:tcPr>
            <w:tcW w:w="1536" w:type="dxa"/>
            <w:noWrap/>
            <w:hideMark/>
          </w:tcPr>
          <w:p w14:paraId="290C88D5" w14:textId="77777777" w:rsidR="009C4A98" w:rsidRPr="004F5B7A" w:rsidRDefault="009C4A98" w:rsidP="009C4A98">
            <w:pPr>
              <w:jc w:val="right"/>
              <w:rPr>
                <w:rFonts w:ascii="Times New Roman" w:eastAsia="Times New Roman" w:hAnsi="Times New Roman" w:cs="Times New Roman"/>
                <w:color w:val="000000"/>
              </w:rPr>
            </w:pPr>
            <w:r w:rsidRPr="004F5B7A">
              <w:rPr>
                <w:rFonts w:ascii="Times New Roman" w:eastAsia="Times New Roman" w:hAnsi="Times New Roman" w:cs="Times New Roman"/>
                <w:color w:val="000000"/>
              </w:rPr>
              <w:t>3.51</w:t>
            </w:r>
          </w:p>
        </w:tc>
        <w:tc>
          <w:tcPr>
            <w:tcW w:w="1536" w:type="dxa"/>
            <w:noWrap/>
            <w:hideMark/>
          </w:tcPr>
          <w:p w14:paraId="60EA219A"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3.32</w:t>
            </w:r>
          </w:p>
        </w:tc>
        <w:tc>
          <w:tcPr>
            <w:tcW w:w="1958" w:type="dxa"/>
            <w:noWrap/>
            <w:hideMark/>
          </w:tcPr>
          <w:p w14:paraId="11180310"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3.4</w:t>
            </w:r>
          </w:p>
        </w:tc>
      </w:tr>
      <w:tr w:rsidR="009C4A98" w:rsidRPr="009C4A98" w14:paraId="25F7BC06" w14:textId="77777777" w:rsidTr="009C4A98">
        <w:trPr>
          <w:trHeight w:val="320"/>
        </w:trPr>
        <w:tc>
          <w:tcPr>
            <w:tcW w:w="1428" w:type="dxa"/>
            <w:vMerge w:val="restart"/>
            <w:noWrap/>
            <w:hideMark/>
          </w:tcPr>
          <w:p w14:paraId="14074E45" w14:textId="2B4D3450" w:rsidR="009C4A98" w:rsidRPr="009C4A98" w:rsidRDefault="009570F0" w:rsidP="009C4A98">
            <w:pPr>
              <w:rPr>
                <w:rFonts w:ascii="Times New Roman" w:eastAsia="Times New Roman" w:hAnsi="Times New Roman" w:cs="Times New Roman"/>
                <w:color w:val="000000"/>
              </w:rPr>
            </w:pPr>
            <w:r>
              <w:rPr>
                <w:rFonts w:ascii="Times New Roman" w:eastAsia="Times New Roman" w:hAnsi="Times New Roman" w:cs="Times New Roman"/>
                <w:color w:val="000000"/>
              </w:rPr>
              <w:t>D-F</w:t>
            </w:r>
          </w:p>
        </w:tc>
        <w:tc>
          <w:tcPr>
            <w:tcW w:w="1536" w:type="dxa"/>
            <w:noWrap/>
            <w:hideMark/>
          </w:tcPr>
          <w:p w14:paraId="77525B38"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5</w:t>
            </w:r>
          </w:p>
        </w:tc>
        <w:tc>
          <w:tcPr>
            <w:tcW w:w="1536" w:type="dxa"/>
            <w:noWrap/>
            <w:hideMark/>
          </w:tcPr>
          <w:p w14:paraId="2D826F5A" w14:textId="77777777" w:rsidR="009C4A98" w:rsidRPr="004F5B7A" w:rsidRDefault="009C4A98" w:rsidP="009C4A98">
            <w:pPr>
              <w:jc w:val="right"/>
              <w:rPr>
                <w:rFonts w:ascii="Times New Roman" w:eastAsia="Times New Roman" w:hAnsi="Times New Roman" w:cs="Times New Roman"/>
                <w:color w:val="000000"/>
              </w:rPr>
            </w:pPr>
            <w:r w:rsidRPr="004F5B7A">
              <w:rPr>
                <w:rFonts w:ascii="Times New Roman" w:eastAsia="Times New Roman" w:hAnsi="Times New Roman" w:cs="Times New Roman"/>
                <w:color w:val="000000"/>
              </w:rPr>
              <w:t>3.85</w:t>
            </w:r>
          </w:p>
        </w:tc>
        <w:tc>
          <w:tcPr>
            <w:tcW w:w="1536" w:type="dxa"/>
            <w:noWrap/>
            <w:hideMark/>
          </w:tcPr>
          <w:p w14:paraId="7FF69AD8"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w:t>
            </w:r>
          </w:p>
        </w:tc>
        <w:tc>
          <w:tcPr>
            <w:tcW w:w="1958" w:type="dxa"/>
            <w:noWrap/>
            <w:hideMark/>
          </w:tcPr>
          <w:p w14:paraId="329F57CA"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2.75</w:t>
            </w:r>
          </w:p>
        </w:tc>
      </w:tr>
      <w:tr w:rsidR="009C4A98" w:rsidRPr="009C4A98" w14:paraId="5DE18B84" w14:textId="77777777" w:rsidTr="009C4A98">
        <w:trPr>
          <w:trHeight w:val="320"/>
        </w:trPr>
        <w:tc>
          <w:tcPr>
            <w:tcW w:w="1428" w:type="dxa"/>
            <w:vMerge/>
            <w:hideMark/>
          </w:tcPr>
          <w:p w14:paraId="2BF4EB47" w14:textId="77777777" w:rsidR="009C4A98" w:rsidRPr="009C4A98" w:rsidRDefault="009C4A98" w:rsidP="009C4A98">
            <w:pPr>
              <w:rPr>
                <w:rFonts w:ascii="Times New Roman" w:eastAsia="Times New Roman" w:hAnsi="Times New Roman" w:cs="Times New Roman"/>
                <w:color w:val="000000"/>
              </w:rPr>
            </w:pPr>
          </w:p>
        </w:tc>
        <w:tc>
          <w:tcPr>
            <w:tcW w:w="1536" w:type="dxa"/>
            <w:noWrap/>
            <w:hideMark/>
          </w:tcPr>
          <w:p w14:paraId="6DF2C600"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6</w:t>
            </w:r>
          </w:p>
        </w:tc>
        <w:tc>
          <w:tcPr>
            <w:tcW w:w="1536" w:type="dxa"/>
            <w:noWrap/>
            <w:hideMark/>
          </w:tcPr>
          <w:p w14:paraId="15A2EB95" w14:textId="77777777" w:rsidR="009C4A98" w:rsidRPr="004F5B7A" w:rsidRDefault="009C4A98" w:rsidP="009C4A98">
            <w:pPr>
              <w:jc w:val="right"/>
              <w:rPr>
                <w:rFonts w:ascii="Times New Roman" w:eastAsia="Times New Roman" w:hAnsi="Times New Roman" w:cs="Times New Roman"/>
                <w:color w:val="000000"/>
              </w:rPr>
            </w:pPr>
            <w:r w:rsidRPr="004F5B7A">
              <w:rPr>
                <w:rFonts w:ascii="Times New Roman" w:eastAsia="Times New Roman" w:hAnsi="Times New Roman" w:cs="Times New Roman"/>
                <w:color w:val="000000"/>
              </w:rPr>
              <w:t>2.93</w:t>
            </w:r>
          </w:p>
        </w:tc>
        <w:tc>
          <w:tcPr>
            <w:tcW w:w="1536" w:type="dxa"/>
            <w:noWrap/>
            <w:hideMark/>
          </w:tcPr>
          <w:p w14:paraId="26347717"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3.06</w:t>
            </w:r>
          </w:p>
        </w:tc>
        <w:tc>
          <w:tcPr>
            <w:tcW w:w="1958" w:type="dxa"/>
            <w:noWrap/>
            <w:hideMark/>
          </w:tcPr>
          <w:p w14:paraId="45C97D87" w14:textId="77777777" w:rsidR="009C4A98" w:rsidRPr="009C4A98" w:rsidRDefault="009C4A98" w:rsidP="009C4A98">
            <w:pPr>
              <w:jc w:val="right"/>
              <w:rPr>
                <w:rFonts w:ascii="Times New Roman" w:eastAsia="Times New Roman" w:hAnsi="Times New Roman" w:cs="Times New Roman"/>
                <w:color w:val="000000"/>
              </w:rPr>
            </w:pPr>
            <w:r w:rsidRPr="009C4A98">
              <w:rPr>
                <w:rFonts w:ascii="Times New Roman" w:eastAsia="Times New Roman" w:hAnsi="Times New Roman" w:cs="Times New Roman"/>
                <w:color w:val="000000"/>
              </w:rPr>
              <w:t>3.5</w:t>
            </w:r>
          </w:p>
        </w:tc>
      </w:tr>
    </w:tbl>
    <w:p w14:paraId="77E69117" w14:textId="77777777" w:rsidR="002E1C75" w:rsidRDefault="002E1C75" w:rsidP="002E1C75">
      <w:pPr>
        <w:rPr>
          <w:rFonts w:ascii="Times New Roman" w:hAnsi="Times New Roman" w:cs="Geneva"/>
          <w:color w:val="000000"/>
        </w:rPr>
      </w:pPr>
    </w:p>
    <w:p w14:paraId="5B00FD7D" w14:textId="72FEEE2D" w:rsidR="00EC3A2A" w:rsidRPr="00EC3A2A" w:rsidRDefault="005A4CC0" w:rsidP="002E1C75">
      <w:pPr>
        <w:rPr>
          <w:rFonts w:ascii="Times New Roman" w:hAnsi="Times New Roman"/>
        </w:rPr>
      </w:pPr>
      <w:r>
        <w:rPr>
          <w:rFonts w:ascii="Times New Roman" w:hAnsi="Times New Roman"/>
        </w:rPr>
        <w:t>Figure 11</w:t>
      </w:r>
      <w:r w:rsidR="00EC3A2A">
        <w:rPr>
          <w:rFonts w:ascii="Times New Roman" w:hAnsi="Times New Roman"/>
        </w:rPr>
        <w:t>. The Comparison of Level 5 and Level 6 Students’ RV grades</w:t>
      </w:r>
      <w:r w:rsidR="00EC3A2A" w:rsidRPr="009C4A98">
        <w:rPr>
          <w:rFonts w:ascii="Times New Roman" w:hAnsi="Times New Roman"/>
        </w:rPr>
        <w:t xml:space="preserve"> </w:t>
      </w:r>
      <w:r w:rsidR="00EC3A2A">
        <w:rPr>
          <w:rFonts w:ascii="Times New Roman" w:hAnsi="Times New Roman"/>
        </w:rPr>
        <w:t>and GPA</w:t>
      </w:r>
    </w:p>
    <w:p w14:paraId="34D30DEF" w14:textId="618E915F" w:rsidR="007702AE" w:rsidRDefault="00EC3A2A" w:rsidP="002E1C75">
      <w:pPr>
        <w:rPr>
          <w:rFonts w:ascii="Times New Roman" w:hAnsi="Times New Roman" w:cs="Geneva"/>
          <w:color w:val="000000"/>
        </w:rPr>
      </w:pPr>
      <w:r>
        <w:rPr>
          <w:noProof/>
        </w:rPr>
        <w:drawing>
          <wp:inline distT="0" distB="0" distL="0" distR="0" wp14:anchorId="356BDCFA" wp14:editId="49538692">
            <wp:extent cx="3594735" cy="2054860"/>
            <wp:effectExtent l="0" t="0" r="37465" b="279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CA51D5" w14:textId="77777777" w:rsidR="007702AE" w:rsidRDefault="007702AE" w:rsidP="002E1C75">
      <w:pPr>
        <w:rPr>
          <w:rFonts w:ascii="Times New Roman" w:hAnsi="Times New Roman" w:cs="Geneva"/>
          <w:color w:val="000000"/>
        </w:rPr>
      </w:pPr>
    </w:p>
    <w:p w14:paraId="41F338AF" w14:textId="6D5BC544" w:rsidR="00CA0289" w:rsidRPr="00EC3A2A" w:rsidRDefault="005A4CC0" w:rsidP="00CA0289">
      <w:pPr>
        <w:rPr>
          <w:rFonts w:ascii="Times New Roman" w:hAnsi="Times New Roman"/>
        </w:rPr>
      </w:pPr>
      <w:r>
        <w:rPr>
          <w:rFonts w:ascii="Times New Roman" w:hAnsi="Times New Roman"/>
        </w:rPr>
        <w:t>Figure 12</w:t>
      </w:r>
      <w:r w:rsidR="00CA0289">
        <w:rPr>
          <w:rFonts w:ascii="Times New Roman" w:hAnsi="Times New Roman"/>
        </w:rPr>
        <w:t>. The Comparison of Level 5 and Level 6 Students’ RV grades</w:t>
      </w:r>
      <w:r w:rsidR="00CA0289" w:rsidRPr="009C4A98">
        <w:rPr>
          <w:rFonts w:ascii="Times New Roman" w:hAnsi="Times New Roman"/>
        </w:rPr>
        <w:t xml:space="preserve"> </w:t>
      </w:r>
      <w:r w:rsidR="00CA0289">
        <w:rPr>
          <w:rFonts w:ascii="Times New Roman" w:hAnsi="Times New Roman"/>
        </w:rPr>
        <w:t>and English 101</w:t>
      </w:r>
    </w:p>
    <w:p w14:paraId="2FB22136" w14:textId="269523C3" w:rsidR="007702AE" w:rsidRDefault="00CA0289" w:rsidP="002E1C75">
      <w:pPr>
        <w:rPr>
          <w:rFonts w:ascii="Times New Roman" w:hAnsi="Times New Roman" w:cs="Geneva"/>
          <w:color w:val="000000"/>
        </w:rPr>
      </w:pPr>
      <w:r>
        <w:rPr>
          <w:noProof/>
        </w:rPr>
        <w:drawing>
          <wp:inline distT="0" distB="0" distL="0" distR="0" wp14:anchorId="4289C63B" wp14:editId="0251C2A0">
            <wp:extent cx="3594735" cy="2181860"/>
            <wp:effectExtent l="0" t="0" r="37465"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6712FD" w14:textId="711F41F8" w:rsidR="005A4CC0" w:rsidRPr="005A4CC0" w:rsidRDefault="005A4CC0" w:rsidP="002E1C75">
      <w:pPr>
        <w:rPr>
          <w:rFonts w:ascii="Times New Roman" w:hAnsi="Times New Roman"/>
        </w:rPr>
      </w:pPr>
      <w:r>
        <w:rPr>
          <w:rFonts w:ascii="Times New Roman" w:hAnsi="Times New Roman"/>
        </w:rPr>
        <w:t>Figure 13. The Comparison of Level 5 and Level 6 Students’ RV grades</w:t>
      </w:r>
      <w:r w:rsidRPr="009C4A98">
        <w:rPr>
          <w:rFonts w:ascii="Times New Roman" w:hAnsi="Times New Roman"/>
        </w:rPr>
        <w:t xml:space="preserve"> </w:t>
      </w:r>
      <w:r>
        <w:rPr>
          <w:rFonts w:ascii="Times New Roman" w:hAnsi="Times New Roman"/>
        </w:rPr>
        <w:t>and English 101</w:t>
      </w:r>
    </w:p>
    <w:p w14:paraId="5FB0DD5F" w14:textId="4E69AAB6" w:rsidR="007702AE" w:rsidRDefault="005A4CC0" w:rsidP="002E1C75">
      <w:pPr>
        <w:rPr>
          <w:rFonts w:ascii="Times New Roman" w:hAnsi="Times New Roman" w:cs="Geneva"/>
          <w:color w:val="000000"/>
        </w:rPr>
      </w:pPr>
      <w:r>
        <w:rPr>
          <w:noProof/>
        </w:rPr>
        <w:drawing>
          <wp:inline distT="0" distB="0" distL="0" distR="0" wp14:anchorId="46C6DA77" wp14:editId="18396813">
            <wp:extent cx="3594735" cy="2098040"/>
            <wp:effectExtent l="0" t="0" r="37465" b="355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522D4C" w14:textId="77777777" w:rsidR="005A4CC0" w:rsidRDefault="005A4CC0" w:rsidP="006E0458">
      <w:pPr>
        <w:rPr>
          <w:rFonts w:ascii="Times New Roman" w:hAnsi="Times New Roman" w:cs="Geneva"/>
          <w:color w:val="000000"/>
        </w:rPr>
      </w:pPr>
    </w:p>
    <w:p w14:paraId="468CCF90" w14:textId="4BEE9D78" w:rsidR="00603A80" w:rsidRDefault="006E0458" w:rsidP="00603A80">
      <w:pPr>
        <w:rPr>
          <w:rFonts w:ascii="Times New Roman" w:hAnsi="Times New Roman"/>
        </w:rPr>
      </w:pPr>
      <w:r>
        <w:rPr>
          <w:rFonts w:ascii="Times New Roman" w:hAnsi="Times New Roman"/>
        </w:rPr>
        <w:t>2.3</w:t>
      </w:r>
      <w:r w:rsidR="00603A80">
        <w:rPr>
          <w:rFonts w:ascii="Times New Roman" w:hAnsi="Times New Roman"/>
        </w:rPr>
        <w:t xml:space="preserve"> Former EPI students’ academic work a</w:t>
      </w:r>
      <w:r w:rsidR="002B1E0B">
        <w:rPr>
          <w:rFonts w:ascii="Times New Roman" w:hAnsi="Times New Roman"/>
        </w:rPr>
        <w:t>t USC and grade levels in EPI SL</w:t>
      </w:r>
      <w:r w:rsidR="00603A80">
        <w:rPr>
          <w:rFonts w:ascii="Times New Roman" w:hAnsi="Times New Roman"/>
        </w:rPr>
        <w:t xml:space="preserve"> classes</w:t>
      </w:r>
    </w:p>
    <w:p w14:paraId="2303AEA4" w14:textId="7625437E" w:rsidR="00603A80" w:rsidRDefault="006E0458" w:rsidP="00603A80">
      <w:pPr>
        <w:rPr>
          <w:rFonts w:ascii="Times New Roman" w:hAnsi="Times New Roman"/>
        </w:rPr>
      </w:pPr>
      <w:r>
        <w:rPr>
          <w:rFonts w:ascii="Times New Roman" w:hAnsi="Times New Roman"/>
        </w:rPr>
        <w:t>2.3</w:t>
      </w:r>
      <w:r w:rsidR="00603A80">
        <w:rPr>
          <w:rFonts w:ascii="Times New Roman" w:hAnsi="Times New Roman"/>
        </w:rPr>
        <w:t xml:space="preserve">.1 Distribution of Former EPI students’ grades at level 5 and 6 </w:t>
      </w:r>
    </w:p>
    <w:p w14:paraId="5F4F8F8F" w14:textId="005C2613" w:rsidR="00603A80" w:rsidRDefault="00603A80" w:rsidP="00603A80">
      <w:pPr>
        <w:rPr>
          <w:rFonts w:ascii="Times New Roman" w:hAnsi="Times New Roman"/>
        </w:rPr>
      </w:pPr>
      <w:r>
        <w:rPr>
          <w:rFonts w:ascii="Times New Roman" w:hAnsi="Times New Roman"/>
        </w:rPr>
        <w:t>The distri</w:t>
      </w:r>
      <w:r w:rsidR="002B1E0B">
        <w:rPr>
          <w:rFonts w:ascii="Times New Roman" w:hAnsi="Times New Roman"/>
        </w:rPr>
        <w:t>bution of students’ grades at SL</w:t>
      </w:r>
      <w:r>
        <w:rPr>
          <w:rFonts w:ascii="Times New Roman" w:hAnsi="Times New Roman"/>
        </w:rPr>
        <w:t xml:space="preserve"> classes was not so different from </w:t>
      </w:r>
      <w:r w:rsidR="002B1E0B">
        <w:rPr>
          <w:rFonts w:ascii="Times New Roman" w:hAnsi="Times New Roman"/>
        </w:rPr>
        <w:t xml:space="preserve">the other two types </w:t>
      </w:r>
      <w:r w:rsidR="006E0458">
        <w:rPr>
          <w:rFonts w:ascii="Times New Roman" w:hAnsi="Times New Roman"/>
        </w:rPr>
        <w:t>of classes (GW and RV). As shown in Table 12</w:t>
      </w:r>
      <w:r>
        <w:rPr>
          <w:rFonts w:ascii="Times New Roman" w:hAnsi="Times New Roman"/>
        </w:rPr>
        <w:t xml:space="preserve"> and Figure 4, all the students attended level 5 and level 6 classes with an exception of 3 students</w:t>
      </w:r>
      <w:r>
        <w:rPr>
          <w:rFonts w:ascii="Times New Roman" w:hAnsi="Times New Roman" w:hint="eastAsia"/>
          <w:lang w:eastAsia="ko-KR"/>
        </w:rPr>
        <w:t xml:space="preserve"> </w:t>
      </w:r>
      <w:r>
        <w:rPr>
          <w:rFonts w:ascii="Times New Roman" w:hAnsi="Times New Roman"/>
          <w:lang w:eastAsia="ko-KR"/>
        </w:rPr>
        <w:t xml:space="preserve">at </w:t>
      </w:r>
      <w:r>
        <w:rPr>
          <w:rFonts w:ascii="Times New Roman" w:hAnsi="Times New Roman"/>
        </w:rPr>
        <w:t xml:space="preserve">level 4. The biggest proportion of students got </w:t>
      </w:r>
      <w:r w:rsidR="002B1E0B">
        <w:rPr>
          <w:rFonts w:ascii="Times New Roman" w:hAnsi="Times New Roman"/>
        </w:rPr>
        <w:t>a B grade: 16</w:t>
      </w:r>
      <w:r w:rsidR="00F33E9E">
        <w:rPr>
          <w:rFonts w:ascii="Times New Roman" w:hAnsi="Times New Roman"/>
        </w:rPr>
        <w:t xml:space="preserve"> </w:t>
      </w:r>
      <w:r w:rsidR="002B1E0B">
        <w:rPr>
          <w:rFonts w:ascii="Times New Roman" w:hAnsi="Times New Roman"/>
        </w:rPr>
        <w:t>and 46</w:t>
      </w:r>
      <w:r>
        <w:rPr>
          <w:rFonts w:ascii="Times New Roman" w:hAnsi="Times New Roman"/>
        </w:rPr>
        <w:t xml:space="preserve"> students from class level 5 and level 6 respectively and the </w:t>
      </w:r>
      <w:r w:rsidR="002B1E0B">
        <w:rPr>
          <w:rFonts w:ascii="Times New Roman" w:hAnsi="Times New Roman"/>
        </w:rPr>
        <w:t>next biggest groups were grade A</w:t>
      </w:r>
      <w:r>
        <w:rPr>
          <w:rFonts w:ascii="Times New Roman" w:hAnsi="Times New Roman"/>
        </w:rPr>
        <w:t xml:space="preserve"> students </w:t>
      </w:r>
      <w:r w:rsidR="002B1E0B">
        <w:rPr>
          <w:rFonts w:ascii="Times New Roman" w:hAnsi="Times New Roman"/>
        </w:rPr>
        <w:t xml:space="preserve">both at level 5 and </w:t>
      </w:r>
      <w:r>
        <w:rPr>
          <w:rFonts w:ascii="Times New Roman" w:hAnsi="Times New Roman"/>
        </w:rPr>
        <w:t>at level 6, followed by the other two grades.</w:t>
      </w:r>
    </w:p>
    <w:p w14:paraId="53F33DDC" w14:textId="77777777" w:rsidR="00603A80" w:rsidRDefault="00603A80" w:rsidP="00603A80">
      <w:pPr>
        <w:rPr>
          <w:rFonts w:ascii="Times New Roman" w:hAnsi="Times New Roman"/>
          <w:b/>
        </w:rPr>
      </w:pPr>
    </w:p>
    <w:p w14:paraId="3598FEF5" w14:textId="4D725B63" w:rsidR="00603A80" w:rsidRPr="00FA37B8" w:rsidRDefault="002B1E0B" w:rsidP="00603A80">
      <w:pPr>
        <w:rPr>
          <w:rFonts w:ascii="Times New Roman" w:hAnsi="Times New Roman"/>
        </w:rPr>
      </w:pPr>
      <w:r>
        <w:rPr>
          <w:rFonts w:ascii="Times New Roman" w:hAnsi="Times New Roman"/>
        </w:rPr>
        <w:t>Table 12</w:t>
      </w:r>
      <w:r w:rsidR="00603A80">
        <w:rPr>
          <w:rFonts w:ascii="Times New Roman" w:hAnsi="Times New Roman"/>
        </w:rPr>
        <w:t>. Distribution of Former EPI Students’ grades</w:t>
      </w:r>
      <w:r>
        <w:rPr>
          <w:rFonts w:ascii="Times New Roman" w:hAnsi="Times New Roman"/>
        </w:rPr>
        <w:t xml:space="preserve"> at SL</w:t>
      </w:r>
      <w:r w:rsidR="00603A80">
        <w:rPr>
          <w:rFonts w:ascii="Times New Roman" w:hAnsi="Times New Roman"/>
        </w:rPr>
        <w:t xml:space="preserve"> level 4, 5 and 6</w:t>
      </w:r>
    </w:p>
    <w:tbl>
      <w:tblPr>
        <w:tblW w:w="5933"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08"/>
        <w:gridCol w:w="1508"/>
        <w:gridCol w:w="2917"/>
      </w:tblGrid>
      <w:tr w:rsidR="00330D0E" w:rsidRPr="002B1E0B" w14:paraId="3739392B" w14:textId="77777777" w:rsidTr="00330D0E">
        <w:trPr>
          <w:trHeight w:val="280"/>
        </w:trPr>
        <w:tc>
          <w:tcPr>
            <w:tcW w:w="1508" w:type="dxa"/>
            <w:tcBorders>
              <w:right w:val="single" w:sz="4" w:space="0" w:color="auto"/>
            </w:tcBorders>
            <w:vAlign w:val="center"/>
          </w:tcPr>
          <w:p w14:paraId="58D7B1DE" w14:textId="0F1E9E70" w:rsidR="00330D0E" w:rsidRDefault="00330D0E" w:rsidP="00330D0E">
            <w:pPr>
              <w:jc w:val="center"/>
              <w:rPr>
                <w:rFonts w:ascii="Times New Roman" w:hAnsi="Times New Roman" w:cs="Geneva"/>
                <w:color w:val="000000"/>
              </w:rPr>
            </w:pPr>
            <w:r>
              <w:rPr>
                <w:rFonts w:ascii="Times New Roman" w:hAnsi="Times New Roman" w:cs="Geneva"/>
                <w:color w:val="000000"/>
              </w:rPr>
              <w:t>Class Level</w:t>
            </w:r>
          </w:p>
        </w:tc>
        <w:tc>
          <w:tcPr>
            <w:tcW w:w="1508" w:type="dxa"/>
            <w:tcBorders>
              <w:right w:val="single" w:sz="4" w:space="0" w:color="auto"/>
            </w:tcBorders>
            <w:shd w:val="clear" w:color="auto" w:fill="auto"/>
            <w:noWrap/>
            <w:vAlign w:val="center"/>
          </w:tcPr>
          <w:p w14:paraId="05EBFEB3" w14:textId="0A00B977" w:rsidR="00330D0E" w:rsidRPr="002B1E0B" w:rsidRDefault="00330D0E" w:rsidP="00330D0E">
            <w:pPr>
              <w:jc w:val="center"/>
              <w:rPr>
                <w:rFonts w:ascii="Times New Roman" w:hAnsi="Times New Roman" w:cs="Geneva"/>
                <w:color w:val="000000"/>
              </w:rPr>
            </w:pPr>
            <w:r>
              <w:rPr>
                <w:rFonts w:ascii="Times New Roman" w:hAnsi="Times New Roman" w:cs="Geneva"/>
                <w:color w:val="000000"/>
              </w:rPr>
              <w:t>Grade</w:t>
            </w:r>
          </w:p>
        </w:tc>
        <w:tc>
          <w:tcPr>
            <w:tcW w:w="2917" w:type="dxa"/>
            <w:tcBorders>
              <w:left w:val="single" w:sz="4" w:space="0" w:color="auto"/>
            </w:tcBorders>
            <w:shd w:val="clear" w:color="auto" w:fill="auto"/>
            <w:noWrap/>
            <w:vAlign w:val="center"/>
          </w:tcPr>
          <w:p w14:paraId="4996BF64" w14:textId="6F0C2EA2" w:rsidR="00330D0E" w:rsidRPr="002B1E0B" w:rsidRDefault="00330D0E" w:rsidP="00330D0E">
            <w:pPr>
              <w:jc w:val="center"/>
              <w:rPr>
                <w:rFonts w:ascii="Times New Roman" w:hAnsi="Times New Roman" w:cs="Geneva"/>
                <w:color w:val="000000"/>
              </w:rPr>
            </w:pPr>
            <w:r>
              <w:rPr>
                <w:rFonts w:ascii="Times New Roman" w:hAnsi="Times New Roman" w:cs="Geneva"/>
                <w:color w:val="000000"/>
              </w:rPr>
              <w:t>Number of Students</w:t>
            </w:r>
          </w:p>
        </w:tc>
      </w:tr>
      <w:tr w:rsidR="00330D0E" w:rsidRPr="002B1E0B" w14:paraId="117679BD" w14:textId="77777777" w:rsidTr="00330D0E">
        <w:trPr>
          <w:trHeight w:val="280"/>
        </w:trPr>
        <w:tc>
          <w:tcPr>
            <w:tcW w:w="1508" w:type="dxa"/>
            <w:tcBorders>
              <w:right w:val="single" w:sz="4" w:space="0" w:color="auto"/>
            </w:tcBorders>
            <w:vAlign w:val="center"/>
          </w:tcPr>
          <w:p w14:paraId="61DCC643" w14:textId="24B0E071" w:rsidR="00330D0E" w:rsidRPr="002B1E0B" w:rsidRDefault="00330D0E" w:rsidP="00330D0E">
            <w:pPr>
              <w:jc w:val="center"/>
              <w:rPr>
                <w:rFonts w:ascii="Times New Roman" w:hAnsi="Times New Roman" w:cs="Geneva"/>
                <w:color w:val="000000"/>
              </w:rPr>
            </w:pPr>
            <w:r>
              <w:rPr>
                <w:rFonts w:ascii="Times New Roman" w:hAnsi="Times New Roman" w:cs="Geneva"/>
                <w:color w:val="000000"/>
              </w:rPr>
              <w:t>4</w:t>
            </w:r>
          </w:p>
        </w:tc>
        <w:tc>
          <w:tcPr>
            <w:tcW w:w="1508" w:type="dxa"/>
            <w:tcBorders>
              <w:right w:val="single" w:sz="4" w:space="0" w:color="auto"/>
            </w:tcBorders>
            <w:shd w:val="clear" w:color="auto" w:fill="auto"/>
            <w:noWrap/>
            <w:vAlign w:val="center"/>
            <w:hideMark/>
          </w:tcPr>
          <w:p w14:paraId="51910711" w14:textId="65CF6EDB"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4a-4f</w:t>
            </w:r>
          </w:p>
        </w:tc>
        <w:tc>
          <w:tcPr>
            <w:tcW w:w="2917" w:type="dxa"/>
            <w:tcBorders>
              <w:left w:val="single" w:sz="4" w:space="0" w:color="auto"/>
            </w:tcBorders>
            <w:shd w:val="clear" w:color="auto" w:fill="auto"/>
            <w:noWrap/>
            <w:vAlign w:val="center"/>
            <w:hideMark/>
          </w:tcPr>
          <w:p w14:paraId="43C9029F" w14:textId="77777777"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4</w:t>
            </w:r>
          </w:p>
        </w:tc>
      </w:tr>
      <w:tr w:rsidR="00330D0E" w:rsidRPr="002B1E0B" w14:paraId="687F62AD" w14:textId="77777777" w:rsidTr="00330D0E">
        <w:trPr>
          <w:trHeight w:val="280"/>
        </w:trPr>
        <w:tc>
          <w:tcPr>
            <w:tcW w:w="1508" w:type="dxa"/>
            <w:vMerge w:val="restart"/>
            <w:tcBorders>
              <w:right w:val="single" w:sz="4" w:space="0" w:color="auto"/>
            </w:tcBorders>
            <w:vAlign w:val="center"/>
          </w:tcPr>
          <w:p w14:paraId="67A5162A" w14:textId="309F19E8" w:rsidR="00330D0E" w:rsidRPr="002B1E0B" w:rsidRDefault="00330D0E" w:rsidP="00330D0E">
            <w:pPr>
              <w:jc w:val="center"/>
              <w:rPr>
                <w:rFonts w:ascii="Times New Roman" w:hAnsi="Times New Roman" w:cs="Geneva"/>
                <w:color w:val="000000"/>
              </w:rPr>
            </w:pPr>
            <w:r>
              <w:rPr>
                <w:rFonts w:ascii="Times New Roman" w:hAnsi="Times New Roman" w:cs="Geneva"/>
                <w:color w:val="000000"/>
              </w:rPr>
              <w:t>5</w:t>
            </w:r>
          </w:p>
        </w:tc>
        <w:tc>
          <w:tcPr>
            <w:tcW w:w="1508" w:type="dxa"/>
            <w:tcBorders>
              <w:right w:val="single" w:sz="4" w:space="0" w:color="auto"/>
            </w:tcBorders>
            <w:shd w:val="clear" w:color="auto" w:fill="auto"/>
            <w:noWrap/>
            <w:vAlign w:val="center"/>
            <w:hideMark/>
          </w:tcPr>
          <w:p w14:paraId="0928F153" w14:textId="6DAED819"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5a</w:t>
            </w:r>
          </w:p>
        </w:tc>
        <w:tc>
          <w:tcPr>
            <w:tcW w:w="2917" w:type="dxa"/>
            <w:tcBorders>
              <w:left w:val="single" w:sz="4" w:space="0" w:color="auto"/>
            </w:tcBorders>
            <w:shd w:val="clear" w:color="auto" w:fill="auto"/>
            <w:noWrap/>
            <w:vAlign w:val="center"/>
            <w:hideMark/>
          </w:tcPr>
          <w:p w14:paraId="02BEB055" w14:textId="77777777"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8</w:t>
            </w:r>
          </w:p>
        </w:tc>
      </w:tr>
      <w:tr w:rsidR="00330D0E" w:rsidRPr="002B1E0B" w14:paraId="7CA26408" w14:textId="77777777" w:rsidTr="00330D0E">
        <w:trPr>
          <w:trHeight w:val="280"/>
        </w:trPr>
        <w:tc>
          <w:tcPr>
            <w:tcW w:w="1508" w:type="dxa"/>
            <w:vMerge/>
            <w:tcBorders>
              <w:right w:val="single" w:sz="4" w:space="0" w:color="auto"/>
            </w:tcBorders>
            <w:vAlign w:val="center"/>
          </w:tcPr>
          <w:p w14:paraId="7744E662" w14:textId="77777777" w:rsidR="00330D0E" w:rsidRPr="002B1E0B" w:rsidRDefault="00330D0E" w:rsidP="00330D0E">
            <w:pPr>
              <w:jc w:val="center"/>
              <w:rPr>
                <w:rFonts w:ascii="Times New Roman" w:hAnsi="Times New Roman" w:cs="Geneva"/>
                <w:color w:val="000000"/>
              </w:rPr>
            </w:pPr>
          </w:p>
        </w:tc>
        <w:tc>
          <w:tcPr>
            <w:tcW w:w="1508" w:type="dxa"/>
            <w:tcBorders>
              <w:right w:val="single" w:sz="4" w:space="0" w:color="auto"/>
            </w:tcBorders>
            <w:shd w:val="clear" w:color="auto" w:fill="auto"/>
            <w:noWrap/>
            <w:vAlign w:val="center"/>
            <w:hideMark/>
          </w:tcPr>
          <w:p w14:paraId="79F970B8" w14:textId="4350366E"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5b</w:t>
            </w:r>
          </w:p>
        </w:tc>
        <w:tc>
          <w:tcPr>
            <w:tcW w:w="2917" w:type="dxa"/>
            <w:tcBorders>
              <w:left w:val="single" w:sz="4" w:space="0" w:color="auto"/>
            </w:tcBorders>
            <w:shd w:val="clear" w:color="auto" w:fill="auto"/>
            <w:noWrap/>
            <w:vAlign w:val="center"/>
            <w:hideMark/>
          </w:tcPr>
          <w:p w14:paraId="71664CEF" w14:textId="77777777"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16</w:t>
            </w:r>
          </w:p>
        </w:tc>
      </w:tr>
      <w:tr w:rsidR="00330D0E" w:rsidRPr="002B1E0B" w14:paraId="3DCF863E" w14:textId="77777777" w:rsidTr="00330D0E">
        <w:trPr>
          <w:trHeight w:val="280"/>
        </w:trPr>
        <w:tc>
          <w:tcPr>
            <w:tcW w:w="1508" w:type="dxa"/>
            <w:vMerge/>
            <w:tcBorders>
              <w:right w:val="single" w:sz="4" w:space="0" w:color="auto"/>
            </w:tcBorders>
            <w:vAlign w:val="center"/>
          </w:tcPr>
          <w:p w14:paraId="2EAD477A" w14:textId="77777777" w:rsidR="00330D0E" w:rsidRPr="002B1E0B" w:rsidRDefault="00330D0E" w:rsidP="00330D0E">
            <w:pPr>
              <w:jc w:val="center"/>
              <w:rPr>
                <w:rFonts w:ascii="Times New Roman" w:hAnsi="Times New Roman" w:cs="Geneva"/>
                <w:color w:val="000000"/>
              </w:rPr>
            </w:pPr>
          </w:p>
        </w:tc>
        <w:tc>
          <w:tcPr>
            <w:tcW w:w="1508" w:type="dxa"/>
            <w:tcBorders>
              <w:right w:val="single" w:sz="4" w:space="0" w:color="auto"/>
            </w:tcBorders>
            <w:shd w:val="clear" w:color="auto" w:fill="auto"/>
            <w:noWrap/>
            <w:vAlign w:val="center"/>
            <w:hideMark/>
          </w:tcPr>
          <w:p w14:paraId="7CE486CE" w14:textId="2947484C"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5c-5f</w:t>
            </w:r>
          </w:p>
        </w:tc>
        <w:tc>
          <w:tcPr>
            <w:tcW w:w="2917" w:type="dxa"/>
            <w:tcBorders>
              <w:left w:val="single" w:sz="4" w:space="0" w:color="auto"/>
            </w:tcBorders>
            <w:shd w:val="clear" w:color="auto" w:fill="auto"/>
            <w:noWrap/>
            <w:vAlign w:val="center"/>
            <w:hideMark/>
          </w:tcPr>
          <w:p w14:paraId="66148F6F" w14:textId="77777777"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8</w:t>
            </w:r>
          </w:p>
        </w:tc>
      </w:tr>
      <w:tr w:rsidR="00330D0E" w:rsidRPr="002B1E0B" w14:paraId="2981B5E0" w14:textId="77777777" w:rsidTr="00330D0E">
        <w:trPr>
          <w:trHeight w:val="280"/>
        </w:trPr>
        <w:tc>
          <w:tcPr>
            <w:tcW w:w="1508" w:type="dxa"/>
            <w:vMerge w:val="restart"/>
            <w:tcBorders>
              <w:right w:val="single" w:sz="4" w:space="0" w:color="auto"/>
            </w:tcBorders>
            <w:vAlign w:val="center"/>
          </w:tcPr>
          <w:p w14:paraId="21A6A6E7" w14:textId="62B19E5D" w:rsidR="00330D0E" w:rsidRPr="002B1E0B" w:rsidRDefault="00330D0E" w:rsidP="00330D0E">
            <w:pPr>
              <w:jc w:val="center"/>
              <w:rPr>
                <w:rFonts w:ascii="Times New Roman" w:hAnsi="Times New Roman" w:cs="Geneva"/>
                <w:color w:val="000000"/>
              </w:rPr>
            </w:pPr>
            <w:r>
              <w:rPr>
                <w:rFonts w:ascii="Times New Roman" w:hAnsi="Times New Roman" w:cs="Geneva"/>
                <w:color w:val="000000"/>
              </w:rPr>
              <w:t>6</w:t>
            </w:r>
          </w:p>
        </w:tc>
        <w:tc>
          <w:tcPr>
            <w:tcW w:w="1508" w:type="dxa"/>
            <w:tcBorders>
              <w:right w:val="single" w:sz="4" w:space="0" w:color="auto"/>
            </w:tcBorders>
            <w:shd w:val="clear" w:color="auto" w:fill="auto"/>
            <w:noWrap/>
            <w:vAlign w:val="center"/>
            <w:hideMark/>
          </w:tcPr>
          <w:p w14:paraId="5D5DC819" w14:textId="489BF22E"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6a</w:t>
            </w:r>
          </w:p>
        </w:tc>
        <w:tc>
          <w:tcPr>
            <w:tcW w:w="2917" w:type="dxa"/>
            <w:tcBorders>
              <w:left w:val="single" w:sz="4" w:space="0" w:color="auto"/>
            </w:tcBorders>
            <w:shd w:val="clear" w:color="auto" w:fill="auto"/>
            <w:noWrap/>
            <w:vAlign w:val="center"/>
            <w:hideMark/>
          </w:tcPr>
          <w:p w14:paraId="71D23D2C" w14:textId="77777777"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32</w:t>
            </w:r>
          </w:p>
        </w:tc>
      </w:tr>
      <w:tr w:rsidR="00330D0E" w:rsidRPr="002B1E0B" w14:paraId="0D303313" w14:textId="77777777" w:rsidTr="00330D0E">
        <w:trPr>
          <w:trHeight w:val="280"/>
        </w:trPr>
        <w:tc>
          <w:tcPr>
            <w:tcW w:w="1508" w:type="dxa"/>
            <w:vMerge/>
            <w:tcBorders>
              <w:right w:val="single" w:sz="4" w:space="0" w:color="auto"/>
            </w:tcBorders>
            <w:vAlign w:val="center"/>
          </w:tcPr>
          <w:p w14:paraId="5444E2FC" w14:textId="77777777" w:rsidR="00330D0E" w:rsidRPr="002B1E0B" w:rsidRDefault="00330D0E" w:rsidP="00330D0E">
            <w:pPr>
              <w:jc w:val="center"/>
              <w:rPr>
                <w:rFonts w:ascii="Times New Roman" w:hAnsi="Times New Roman" w:cs="Geneva"/>
                <w:color w:val="000000"/>
              </w:rPr>
            </w:pPr>
          </w:p>
        </w:tc>
        <w:tc>
          <w:tcPr>
            <w:tcW w:w="1508" w:type="dxa"/>
            <w:tcBorders>
              <w:right w:val="single" w:sz="4" w:space="0" w:color="auto"/>
            </w:tcBorders>
            <w:shd w:val="clear" w:color="auto" w:fill="auto"/>
            <w:noWrap/>
            <w:vAlign w:val="center"/>
            <w:hideMark/>
          </w:tcPr>
          <w:p w14:paraId="702B13A3" w14:textId="115DBDBE"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6b</w:t>
            </w:r>
          </w:p>
        </w:tc>
        <w:tc>
          <w:tcPr>
            <w:tcW w:w="2917" w:type="dxa"/>
            <w:tcBorders>
              <w:left w:val="single" w:sz="4" w:space="0" w:color="auto"/>
            </w:tcBorders>
            <w:shd w:val="clear" w:color="auto" w:fill="auto"/>
            <w:noWrap/>
            <w:vAlign w:val="center"/>
            <w:hideMark/>
          </w:tcPr>
          <w:p w14:paraId="3F9D3612" w14:textId="77777777"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46</w:t>
            </w:r>
          </w:p>
        </w:tc>
      </w:tr>
      <w:tr w:rsidR="00330D0E" w:rsidRPr="002B1E0B" w14:paraId="31C12F04" w14:textId="77777777" w:rsidTr="00330D0E">
        <w:trPr>
          <w:trHeight w:val="280"/>
        </w:trPr>
        <w:tc>
          <w:tcPr>
            <w:tcW w:w="1508" w:type="dxa"/>
            <w:vMerge/>
            <w:tcBorders>
              <w:right w:val="single" w:sz="4" w:space="0" w:color="auto"/>
            </w:tcBorders>
            <w:shd w:val="clear" w:color="000000" w:fill="FFFFFF"/>
            <w:vAlign w:val="center"/>
          </w:tcPr>
          <w:p w14:paraId="258222B2" w14:textId="77777777" w:rsidR="00330D0E" w:rsidRPr="002B1E0B" w:rsidRDefault="00330D0E" w:rsidP="00330D0E">
            <w:pPr>
              <w:jc w:val="center"/>
              <w:rPr>
                <w:rFonts w:ascii="Times New Roman" w:hAnsi="Times New Roman" w:cs="Geneva"/>
                <w:color w:val="000000"/>
              </w:rPr>
            </w:pPr>
          </w:p>
        </w:tc>
        <w:tc>
          <w:tcPr>
            <w:tcW w:w="1508" w:type="dxa"/>
            <w:tcBorders>
              <w:right w:val="single" w:sz="4" w:space="0" w:color="auto"/>
            </w:tcBorders>
            <w:shd w:val="clear" w:color="000000" w:fill="FFFFFF"/>
            <w:noWrap/>
            <w:vAlign w:val="center"/>
            <w:hideMark/>
          </w:tcPr>
          <w:p w14:paraId="0D240DE9" w14:textId="71C4C9E4"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6c</w:t>
            </w:r>
          </w:p>
        </w:tc>
        <w:tc>
          <w:tcPr>
            <w:tcW w:w="2917" w:type="dxa"/>
            <w:tcBorders>
              <w:left w:val="single" w:sz="4" w:space="0" w:color="auto"/>
            </w:tcBorders>
            <w:shd w:val="clear" w:color="000000" w:fill="FFFFFF"/>
            <w:noWrap/>
            <w:vAlign w:val="center"/>
            <w:hideMark/>
          </w:tcPr>
          <w:p w14:paraId="3B366B5A" w14:textId="77777777"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11</w:t>
            </w:r>
          </w:p>
        </w:tc>
      </w:tr>
      <w:tr w:rsidR="00330D0E" w:rsidRPr="002B1E0B" w14:paraId="2DC20DA3" w14:textId="77777777" w:rsidTr="00330D0E">
        <w:trPr>
          <w:trHeight w:val="280"/>
        </w:trPr>
        <w:tc>
          <w:tcPr>
            <w:tcW w:w="1508" w:type="dxa"/>
            <w:vMerge/>
            <w:tcBorders>
              <w:right w:val="single" w:sz="4" w:space="0" w:color="auto"/>
            </w:tcBorders>
            <w:vAlign w:val="center"/>
          </w:tcPr>
          <w:p w14:paraId="37876A7D" w14:textId="77777777" w:rsidR="00330D0E" w:rsidRPr="002B1E0B" w:rsidRDefault="00330D0E" w:rsidP="00330D0E">
            <w:pPr>
              <w:jc w:val="center"/>
              <w:rPr>
                <w:rFonts w:ascii="Times New Roman" w:hAnsi="Times New Roman" w:cs="Geneva"/>
                <w:color w:val="000000"/>
              </w:rPr>
            </w:pPr>
          </w:p>
        </w:tc>
        <w:tc>
          <w:tcPr>
            <w:tcW w:w="1508" w:type="dxa"/>
            <w:tcBorders>
              <w:right w:val="single" w:sz="4" w:space="0" w:color="auto"/>
            </w:tcBorders>
            <w:shd w:val="clear" w:color="auto" w:fill="auto"/>
            <w:noWrap/>
            <w:vAlign w:val="center"/>
            <w:hideMark/>
          </w:tcPr>
          <w:p w14:paraId="5B3585B1" w14:textId="0C79CBAD"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6d-6f</w:t>
            </w:r>
          </w:p>
        </w:tc>
        <w:tc>
          <w:tcPr>
            <w:tcW w:w="2917" w:type="dxa"/>
            <w:tcBorders>
              <w:left w:val="single" w:sz="4" w:space="0" w:color="auto"/>
            </w:tcBorders>
            <w:shd w:val="clear" w:color="auto" w:fill="auto"/>
            <w:noWrap/>
            <w:vAlign w:val="center"/>
            <w:hideMark/>
          </w:tcPr>
          <w:p w14:paraId="2F56BDF4" w14:textId="77777777"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10</w:t>
            </w:r>
          </w:p>
        </w:tc>
      </w:tr>
      <w:tr w:rsidR="00330D0E" w:rsidRPr="002B1E0B" w14:paraId="2B504530" w14:textId="77777777" w:rsidTr="00330D0E">
        <w:trPr>
          <w:trHeight w:val="84"/>
        </w:trPr>
        <w:tc>
          <w:tcPr>
            <w:tcW w:w="3016" w:type="dxa"/>
            <w:gridSpan w:val="2"/>
            <w:tcBorders>
              <w:right w:val="single" w:sz="4" w:space="0" w:color="auto"/>
            </w:tcBorders>
            <w:vAlign w:val="center"/>
          </w:tcPr>
          <w:p w14:paraId="0891F172" w14:textId="610D118E" w:rsidR="00330D0E" w:rsidRPr="002B1E0B" w:rsidRDefault="00330D0E" w:rsidP="00330D0E">
            <w:pPr>
              <w:jc w:val="center"/>
              <w:rPr>
                <w:rFonts w:ascii="Times New Roman" w:hAnsi="Times New Roman" w:cs="Geneva"/>
                <w:color w:val="000000"/>
              </w:rPr>
            </w:pPr>
            <w:r>
              <w:rPr>
                <w:rFonts w:ascii="Times New Roman" w:hAnsi="Times New Roman" w:cs="Geneva"/>
                <w:color w:val="000000"/>
              </w:rPr>
              <w:t>Total</w:t>
            </w:r>
          </w:p>
        </w:tc>
        <w:tc>
          <w:tcPr>
            <w:tcW w:w="2917" w:type="dxa"/>
            <w:tcBorders>
              <w:left w:val="single" w:sz="4" w:space="0" w:color="auto"/>
            </w:tcBorders>
            <w:shd w:val="clear" w:color="auto" w:fill="auto"/>
            <w:noWrap/>
            <w:vAlign w:val="center"/>
            <w:hideMark/>
          </w:tcPr>
          <w:p w14:paraId="61E863F9" w14:textId="77777777" w:rsidR="00330D0E" w:rsidRPr="002B1E0B" w:rsidRDefault="00330D0E" w:rsidP="00330D0E">
            <w:pPr>
              <w:jc w:val="center"/>
              <w:rPr>
                <w:rFonts w:ascii="Times New Roman" w:hAnsi="Times New Roman" w:cs="Geneva"/>
                <w:color w:val="000000"/>
              </w:rPr>
            </w:pPr>
            <w:r w:rsidRPr="002B1E0B">
              <w:rPr>
                <w:rFonts w:ascii="Times New Roman" w:hAnsi="Times New Roman" w:cs="Geneva"/>
                <w:color w:val="000000"/>
              </w:rPr>
              <w:t>135</w:t>
            </w:r>
          </w:p>
        </w:tc>
      </w:tr>
    </w:tbl>
    <w:p w14:paraId="296D5DB5" w14:textId="77777777" w:rsidR="002B1E0B" w:rsidRDefault="002B1E0B" w:rsidP="002B1E0B">
      <w:pPr>
        <w:rPr>
          <w:rFonts w:ascii="Times New Roman" w:hAnsi="Times New Roman"/>
        </w:rPr>
      </w:pPr>
    </w:p>
    <w:p w14:paraId="00A07ACE" w14:textId="6E2F4FB1" w:rsidR="005A4CC0" w:rsidRPr="002B1E0B" w:rsidRDefault="0069559E" w:rsidP="00603A80">
      <w:pPr>
        <w:rPr>
          <w:rFonts w:ascii="Times New Roman" w:hAnsi="Times New Roman"/>
        </w:rPr>
      </w:pPr>
      <w:r>
        <w:rPr>
          <w:rFonts w:ascii="Times New Roman" w:hAnsi="Times New Roman"/>
        </w:rPr>
        <w:t>Figure</w:t>
      </w:r>
      <w:r w:rsidR="006E0458">
        <w:rPr>
          <w:rFonts w:ascii="Times New Roman" w:hAnsi="Times New Roman"/>
        </w:rPr>
        <w:t xml:space="preserve"> 14</w:t>
      </w:r>
      <w:r w:rsidR="002B1E0B">
        <w:rPr>
          <w:rFonts w:ascii="Times New Roman" w:hAnsi="Times New Roman"/>
        </w:rPr>
        <w:t>. Distribution of Former EPI Students’ grades at SL level 4, 5 and 6</w:t>
      </w:r>
    </w:p>
    <w:p w14:paraId="2793DB2C" w14:textId="1660A627" w:rsidR="005A4CC0" w:rsidRDefault="002B1E0B" w:rsidP="002B1E0B">
      <w:pPr>
        <w:rPr>
          <w:rFonts w:ascii="Times New Roman" w:hAnsi="Times New Roman" w:cs="Geneva"/>
          <w:color w:val="000000"/>
        </w:rPr>
      </w:pPr>
      <w:r>
        <w:rPr>
          <w:noProof/>
        </w:rPr>
        <w:drawing>
          <wp:inline distT="0" distB="0" distL="0" distR="0" wp14:anchorId="14D2E6C2" wp14:editId="2E946EC4">
            <wp:extent cx="4166235" cy="2489200"/>
            <wp:effectExtent l="0" t="0" r="2476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6A3471" w14:textId="77777777" w:rsidR="00A343C7" w:rsidRDefault="00A343C7" w:rsidP="006E0458">
      <w:pPr>
        <w:rPr>
          <w:rFonts w:ascii="Times New Roman" w:hAnsi="Times New Roman"/>
        </w:rPr>
      </w:pPr>
    </w:p>
    <w:p w14:paraId="786A815A" w14:textId="77777777" w:rsidR="00A343C7" w:rsidRDefault="00A343C7" w:rsidP="006E0458">
      <w:pPr>
        <w:rPr>
          <w:rFonts w:ascii="Times New Roman" w:hAnsi="Times New Roman"/>
        </w:rPr>
      </w:pPr>
    </w:p>
    <w:p w14:paraId="28F163A4" w14:textId="77777777" w:rsidR="00A343C7" w:rsidRDefault="00A343C7" w:rsidP="006E0458">
      <w:pPr>
        <w:rPr>
          <w:rFonts w:ascii="Times New Roman" w:hAnsi="Times New Roman"/>
        </w:rPr>
      </w:pPr>
    </w:p>
    <w:p w14:paraId="6FDACF1F" w14:textId="43DF952B" w:rsidR="006E0458" w:rsidRDefault="006E0458" w:rsidP="006E0458">
      <w:pPr>
        <w:rPr>
          <w:rFonts w:ascii="Times New Roman" w:hAnsi="Times New Roman"/>
        </w:rPr>
      </w:pPr>
      <w:r>
        <w:rPr>
          <w:rFonts w:ascii="Times New Roman" w:hAnsi="Times New Roman"/>
        </w:rPr>
        <w:t>2.3.2 Students’ SL grades at class level 5 and academic achievement at USC</w:t>
      </w:r>
    </w:p>
    <w:p w14:paraId="04AF3A94" w14:textId="6268840B" w:rsidR="00330D0E" w:rsidRDefault="00330D0E" w:rsidP="006E0458">
      <w:pPr>
        <w:rPr>
          <w:rFonts w:ascii="Times New Roman" w:hAnsi="Times New Roman" w:cs="Geneva"/>
          <w:color w:val="000000"/>
        </w:rPr>
      </w:pPr>
      <w:r w:rsidRPr="00F32D20">
        <w:rPr>
          <w:rFonts w:ascii="Times New Roman" w:hAnsi="Times New Roman" w:cs="Times New Roman"/>
          <w:color w:val="000000"/>
          <w:lang w:eastAsia="ko-KR"/>
        </w:rPr>
        <w:t xml:space="preserve">As in the other two class types, </w:t>
      </w:r>
      <w:r w:rsidR="006E0458" w:rsidRPr="00F32D20">
        <w:rPr>
          <w:rFonts w:ascii="Times New Roman" w:hAnsi="Times New Roman" w:cs="Times New Roman"/>
          <w:color w:val="000000"/>
          <w:lang w:eastAsia="ko-KR"/>
        </w:rPr>
        <w:t xml:space="preserve">the analyses for students’ academic work and RV grade levels focus on </w:t>
      </w:r>
      <w:r w:rsidR="006E0458">
        <w:rPr>
          <w:rFonts w:ascii="Times New Roman" w:hAnsi="Times New Roman" w:cs="Geneva"/>
          <w:color w:val="000000"/>
        </w:rPr>
        <w:t>level 5 and level 6</w:t>
      </w:r>
      <w:r>
        <w:rPr>
          <w:rFonts w:ascii="Times New Roman" w:hAnsi="Times New Roman" w:cs="Geneva"/>
          <w:color w:val="000000"/>
        </w:rPr>
        <w:t>, due to the small number of Class 4 students</w:t>
      </w:r>
      <w:r w:rsidR="006E0458">
        <w:rPr>
          <w:rFonts w:ascii="Times New Roman" w:hAnsi="Times New Roman" w:cs="Geneva"/>
          <w:color w:val="000000"/>
        </w:rPr>
        <w:t xml:space="preserve">. </w:t>
      </w:r>
      <w:r>
        <w:rPr>
          <w:rFonts w:ascii="Times New Roman" w:hAnsi="Times New Roman" w:cs="Geneva"/>
          <w:color w:val="000000"/>
        </w:rPr>
        <w:t>Interestingly, u</w:t>
      </w:r>
      <w:r w:rsidR="006E0458">
        <w:rPr>
          <w:rFonts w:ascii="Times New Roman" w:hAnsi="Times New Roman" w:cs="Geneva"/>
          <w:color w:val="000000"/>
        </w:rPr>
        <w:t xml:space="preserve">nlike </w:t>
      </w:r>
      <w:r>
        <w:rPr>
          <w:rFonts w:ascii="Times New Roman" w:hAnsi="Times New Roman" w:cs="Geneva"/>
          <w:color w:val="000000"/>
        </w:rPr>
        <w:t xml:space="preserve">both the </w:t>
      </w:r>
      <w:r w:rsidR="006E0458">
        <w:rPr>
          <w:rFonts w:ascii="Times New Roman" w:hAnsi="Times New Roman" w:cs="Geneva"/>
          <w:color w:val="000000"/>
        </w:rPr>
        <w:t>GW</w:t>
      </w:r>
      <w:r>
        <w:rPr>
          <w:rFonts w:ascii="Times New Roman" w:hAnsi="Times New Roman" w:cs="Geneva"/>
          <w:color w:val="000000"/>
        </w:rPr>
        <w:t xml:space="preserve"> and RV</w:t>
      </w:r>
      <w:r w:rsidR="006E0458">
        <w:rPr>
          <w:rFonts w:ascii="Times New Roman" w:hAnsi="Times New Roman" w:cs="Geneva"/>
          <w:color w:val="000000"/>
        </w:rPr>
        <w:t xml:space="preserve"> classes</w:t>
      </w:r>
      <w:r>
        <w:rPr>
          <w:rFonts w:ascii="Times New Roman" w:hAnsi="Times New Roman" w:cs="Geneva"/>
          <w:color w:val="000000"/>
        </w:rPr>
        <w:t xml:space="preserve">, </w:t>
      </w:r>
      <w:r w:rsidR="006E0458">
        <w:rPr>
          <w:rFonts w:ascii="Times New Roman" w:hAnsi="Times New Roman" w:cs="Geneva"/>
          <w:color w:val="000000"/>
        </w:rPr>
        <w:t>students’ average GPA and average scores from Eng</w:t>
      </w:r>
      <w:r>
        <w:rPr>
          <w:rFonts w:ascii="Times New Roman" w:hAnsi="Times New Roman" w:cs="Geneva"/>
          <w:color w:val="000000"/>
        </w:rPr>
        <w:t xml:space="preserve">lish 101 and 102 courses seem to have three different types of </w:t>
      </w:r>
      <w:r w:rsidR="006E0458">
        <w:rPr>
          <w:rFonts w:ascii="Times New Roman" w:hAnsi="Times New Roman" w:cs="Geneva"/>
          <w:color w:val="000000"/>
        </w:rPr>
        <w:t xml:space="preserve">correlation with the grade levels that they earned from their level 5 classes. </w:t>
      </w:r>
      <w:r>
        <w:rPr>
          <w:rFonts w:ascii="Times New Roman" w:hAnsi="Times New Roman" w:cs="Geneva"/>
          <w:color w:val="000000"/>
        </w:rPr>
        <w:t>As Table 13 and Figure 15</w:t>
      </w:r>
      <w:r w:rsidRPr="007B56D9">
        <w:rPr>
          <w:rFonts w:ascii="Times New Roman" w:hAnsi="Times New Roman" w:cs="Geneva"/>
          <w:color w:val="000000"/>
        </w:rPr>
        <w:t xml:space="preserve"> </w:t>
      </w:r>
      <w:r>
        <w:rPr>
          <w:rFonts w:ascii="Times New Roman" w:hAnsi="Times New Roman" w:cs="Geneva"/>
          <w:color w:val="000000"/>
        </w:rPr>
        <w:t>show, students’ GPA do not differ across grade lev</w:t>
      </w:r>
      <w:r w:rsidR="00A707C4">
        <w:rPr>
          <w:rFonts w:ascii="Times New Roman" w:hAnsi="Times New Roman" w:cs="Geneva"/>
          <w:color w:val="000000"/>
        </w:rPr>
        <w:t>els, the scores from English 102</w:t>
      </w:r>
      <w:r>
        <w:rPr>
          <w:rFonts w:ascii="Times New Roman" w:hAnsi="Times New Roman" w:cs="Geneva"/>
          <w:color w:val="000000"/>
        </w:rPr>
        <w:t xml:space="preserve"> shows a robust positive correlation with grade levels, w</w:t>
      </w:r>
      <w:r w:rsidR="00A707C4">
        <w:rPr>
          <w:rFonts w:ascii="Times New Roman" w:hAnsi="Times New Roman" w:cs="Geneva"/>
          <w:color w:val="000000"/>
        </w:rPr>
        <w:t>hile the scores from English 101</w:t>
      </w:r>
      <w:r>
        <w:rPr>
          <w:rFonts w:ascii="Times New Roman" w:hAnsi="Times New Roman" w:cs="Geneva"/>
          <w:color w:val="000000"/>
        </w:rPr>
        <w:t xml:space="preserve"> displays a negative correlation with grade levels. If the two English courses pursue a similar teaching objective, this reversed pattern of correlation between the two English courses would not be easy to explain.</w:t>
      </w:r>
      <w:r w:rsidR="00A707C4">
        <w:rPr>
          <w:rFonts w:ascii="Times New Roman" w:hAnsi="Times New Roman" w:cs="Geneva"/>
          <w:color w:val="000000"/>
        </w:rPr>
        <w:t xml:space="preserve"> One possible reason is that the size of the groups, </w:t>
      </w:r>
      <w:proofErr w:type="gramStart"/>
      <w:r w:rsidR="00A707C4">
        <w:rPr>
          <w:rFonts w:ascii="Times New Roman" w:hAnsi="Times New Roman" w:cs="Geneva"/>
          <w:color w:val="000000"/>
        </w:rPr>
        <w:t>esp</w:t>
      </w:r>
      <w:r w:rsidR="00EE1599">
        <w:rPr>
          <w:rFonts w:ascii="Times New Roman" w:hAnsi="Times New Roman" w:cs="Geneva"/>
          <w:color w:val="000000"/>
        </w:rPr>
        <w:t>ecially</w:t>
      </w:r>
      <w:r w:rsidR="00A707C4">
        <w:rPr>
          <w:rFonts w:ascii="Times New Roman" w:hAnsi="Times New Roman" w:cs="Geneva"/>
          <w:color w:val="000000"/>
        </w:rPr>
        <w:t xml:space="preserve"> the 5c-5f group</w:t>
      </w:r>
      <w:proofErr w:type="gramEnd"/>
      <w:r w:rsidR="00A707C4">
        <w:rPr>
          <w:rFonts w:ascii="Times New Roman" w:hAnsi="Times New Roman" w:cs="Geneva"/>
          <w:color w:val="000000"/>
        </w:rPr>
        <w:t xml:space="preserve"> (the data from just 4 out of 8</w:t>
      </w:r>
      <w:r w:rsidR="00A707C4" w:rsidRPr="00A707C4">
        <w:rPr>
          <w:rFonts w:ascii="Times New Roman" w:hAnsi="Times New Roman" w:cs="Geneva"/>
          <w:color w:val="000000"/>
        </w:rPr>
        <w:t xml:space="preserve"> </w:t>
      </w:r>
      <w:r w:rsidR="00A707C4">
        <w:rPr>
          <w:rFonts w:ascii="Times New Roman" w:hAnsi="Times New Roman" w:cs="Geneva"/>
          <w:color w:val="000000"/>
        </w:rPr>
        <w:t xml:space="preserve">students), is too small. </w:t>
      </w:r>
    </w:p>
    <w:p w14:paraId="73A26FCF" w14:textId="77777777" w:rsidR="00330D0E" w:rsidRDefault="00330D0E" w:rsidP="006E0458">
      <w:pPr>
        <w:rPr>
          <w:rFonts w:ascii="Times New Roman" w:hAnsi="Times New Roman"/>
        </w:rPr>
      </w:pPr>
    </w:p>
    <w:p w14:paraId="3E5D9BE8" w14:textId="7B5D93AF" w:rsidR="006E0458" w:rsidRDefault="00330D0E" w:rsidP="006E0458">
      <w:pPr>
        <w:rPr>
          <w:rFonts w:ascii="Times New Roman" w:hAnsi="Times New Roman"/>
        </w:rPr>
      </w:pPr>
      <w:r>
        <w:rPr>
          <w:rFonts w:ascii="Times New Roman" w:hAnsi="Times New Roman"/>
        </w:rPr>
        <w:t>Table</w:t>
      </w:r>
      <w:r w:rsidR="0069559E">
        <w:rPr>
          <w:rFonts w:ascii="Times New Roman" w:hAnsi="Times New Roman"/>
        </w:rPr>
        <w:t xml:space="preserve"> 13. Level 5 Students’ SL</w:t>
      </w:r>
      <w:r w:rsidR="006E0458">
        <w:rPr>
          <w:rFonts w:ascii="Times New Roman" w:hAnsi="Times New Roman"/>
        </w:rPr>
        <w:t xml:space="preserve"> Grades vs. Average GPAs and Scores from English 101 and 102</w:t>
      </w:r>
    </w:p>
    <w:tbl>
      <w:tblPr>
        <w:tblStyle w:val="TableGrid"/>
        <w:tblW w:w="0" w:type="auto"/>
        <w:tblInd w:w="108" w:type="dxa"/>
        <w:tblLayout w:type="fixed"/>
        <w:tblLook w:val="04A0" w:firstRow="1" w:lastRow="0" w:firstColumn="1" w:lastColumn="0" w:noHBand="0" w:noVBand="1"/>
      </w:tblPr>
      <w:tblGrid>
        <w:gridCol w:w="1192"/>
        <w:gridCol w:w="1148"/>
        <w:gridCol w:w="1452"/>
        <w:gridCol w:w="2148"/>
      </w:tblGrid>
      <w:tr w:rsidR="0069559E" w:rsidRPr="0069559E" w14:paraId="65D52C81" w14:textId="77777777" w:rsidTr="009B7D78">
        <w:trPr>
          <w:trHeight w:val="320"/>
        </w:trPr>
        <w:tc>
          <w:tcPr>
            <w:tcW w:w="1192" w:type="dxa"/>
            <w:noWrap/>
            <w:hideMark/>
          </w:tcPr>
          <w:p w14:paraId="78BA0B0D"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 xml:space="preserve">Grade </w:t>
            </w:r>
          </w:p>
        </w:tc>
        <w:tc>
          <w:tcPr>
            <w:tcW w:w="1148" w:type="dxa"/>
            <w:noWrap/>
            <w:hideMark/>
          </w:tcPr>
          <w:p w14:paraId="1446E80A"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GPA</w:t>
            </w:r>
          </w:p>
        </w:tc>
        <w:tc>
          <w:tcPr>
            <w:tcW w:w="1452" w:type="dxa"/>
            <w:noWrap/>
            <w:hideMark/>
          </w:tcPr>
          <w:p w14:paraId="7F4073E9"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English 101</w:t>
            </w:r>
          </w:p>
        </w:tc>
        <w:tc>
          <w:tcPr>
            <w:tcW w:w="2148" w:type="dxa"/>
            <w:noWrap/>
            <w:hideMark/>
          </w:tcPr>
          <w:p w14:paraId="66ABBF42"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English 102</w:t>
            </w:r>
          </w:p>
        </w:tc>
      </w:tr>
      <w:tr w:rsidR="0069559E" w:rsidRPr="0069559E" w14:paraId="252397E6" w14:textId="77777777" w:rsidTr="009B7D78">
        <w:trPr>
          <w:trHeight w:val="300"/>
        </w:trPr>
        <w:tc>
          <w:tcPr>
            <w:tcW w:w="1192" w:type="dxa"/>
            <w:noWrap/>
            <w:hideMark/>
          </w:tcPr>
          <w:p w14:paraId="3E192F6C"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5a</w:t>
            </w:r>
          </w:p>
        </w:tc>
        <w:tc>
          <w:tcPr>
            <w:tcW w:w="1148" w:type="dxa"/>
            <w:noWrap/>
            <w:hideMark/>
          </w:tcPr>
          <w:p w14:paraId="673D24EA"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3.33</w:t>
            </w:r>
          </w:p>
        </w:tc>
        <w:tc>
          <w:tcPr>
            <w:tcW w:w="1452" w:type="dxa"/>
            <w:noWrap/>
            <w:hideMark/>
          </w:tcPr>
          <w:p w14:paraId="2FBE0751"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2.79</w:t>
            </w:r>
          </w:p>
        </w:tc>
        <w:tc>
          <w:tcPr>
            <w:tcW w:w="2148" w:type="dxa"/>
            <w:noWrap/>
            <w:hideMark/>
          </w:tcPr>
          <w:p w14:paraId="282B6DE4"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3.71</w:t>
            </w:r>
          </w:p>
        </w:tc>
      </w:tr>
      <w:tr w:rsidR="0069559E" w:rsidRPr="0069559E" w14:paraId="35966085" w14:textId="77777777" w:rsidTr="009B7D78">
        <w:trPr>
          <w:trHeight w:val="460"/>
        </w:trPr>
        <w:tc>
          <w:tcPr>
            <w:tcW w:w="1192" w:type="dxa"/>
            <w:noWrap/>
            <w:hideMark/>
          </w:tcPr>
          <w:p w14:paraId="618724C0"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5b</w:t>
            </w:r>
          </w:p>
        </w:tc>
        <w:tc>
          <w:tcPr>
            <w:tcW w:w="1148" w:type="dxa"/>
            <w:noWrap/>
            <w:hideMark/>
          </w:tcPr>
          <w:p w14:paraId="1899BD8F"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3.49</w:t>
            </w:r>
          </w:p>
        </w:tc>
        <w:tc>
          <w:tcPr>
            <w:tcW w:w="1452" w:type="dxa"/>
            <w:noWrap/>
            <w:hideMark/>
          </w:tcPr>
          <w:p w14:paraId="5D09C853"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3.15</w:t>
            </w:r>
          </w:p>
        </w:tc>
        <w:tc>
          <w:tcPr>
            <w:tcW w:w="2148" w:type="dxa"/>
            <w:noWrap/>
            <w:hideMark/>
          </w:tcPr>
          <w:p w14:paraId="5B570CE4"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3.4</w:t>
            </w:r>
          </w:p>
        </w:tc>
      </w:tr>
      <w:tr w:rsidR="0069559E" w:rsidRPr="0069559E" w14:paraId="76FE817F" w14:textId="77777777" w:rsidTr="009B7D78">
        <w:trPr>
          <w:trHeight w:val="300"/>
        </w:trPr>
        <w:tc>
          <w:tcPr>
            <w:tcW w:w="1192" w:type="dxa"/>
            <w:noWrap/>
            <w:hideMark/>
          </w:tcPr>
          <w:p w14:paraId="6501920D"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5c-5f</w:t>
            </w:r>
          </w:p>
        </w:tc>
        <w:tc>
          <w:tcPr>
            <w:tcW w:w="1148" w:type="dxa"/>
            <w:noWrap/>
            <w:hideMark/>
          </w:tcPr>
          <w:p w14:paraId="084CDE5C"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3.53</w:t>
            </w:r>
          </w:p>
        </w:tc>
        <w:tc>
          <w:tcPr>
            <w:tcW w:w="1452" w:type="dxa"/>
            <w:noWrap/>
            <w:hideMark/>
          </w:tcPr>
          <w:p w14:paraId="07FB168A"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3.5</w:t>
            </w:r>
          </w:p>
        </w:tc>
        <w:tc>
          <w:tcPr>
            <w:tcW w:w="2148" w:type="dxa"/>
            <w:noWrap/>
            <w:hideMark/>
          </w:tcPr>
          <w:p w14:paraId="469C5891"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w:t>
            </w:r>
          </w:p>
        </w:tc>
      </w:tr>
    </w:tbl>
    <w:p w14:paraId="1B3570B1" w14:textId="77777777" w:rsidR="0069559E" w:rsidRDefault="0069559E" w:rsidP="006E0458">
      <w:pPr>
        <w:rPr>
          <w:rFonts w:ascii="Times New Roman" w:hAnsi="Times New Roman" w:cs="Geneva"/>
          <w:color w:val="000000"/>
        </w:rPr>
      </w:pPr>
    </w:p>
    <w:p w14:paraId="5CD50C19" w14:textId="6BC58E1B" w:rsidR="0069559E" w:rsidRDefault="0069559E" w:rsidP="0069559E">
      <w:pPr>
        <w:rPr>
          <w:rFonts w:ascii="Times New Roman" w:hAnsi="Times New Roman"/>
        </w:rPr>
      </w:pPr>
      <w:r>
        <w:rPr>
          <w:rFonts w:ascii="Times New Roman" w:hAnsi="Times New Roman"/>
        </w:rPr>
        <w:t>Figure</w:t>
      </w:r>
      <w:r w:rsidR="00330D0E">
        <w:rPr>
          <w:rFonts w:ascii="Times New Roman" w:hAnsi="Times New Roman"/>
        </w:rPr>
        <w:t xml:space="preserve"> 16</w:t>
      </w:r>
      <w:r>
        <w:rPr>
          <w:rFonts w:ascii="Times New Roman" w:hAnsi="Times New Roman"/>
        </w:rPr>
        <w:t>. Level 5 Students’ SL Grades vs. Average GPAs and Scores from English 101 and 102</w:t>
      </w:r>
    </w:p>
    <w:p w14:paraId="6C30FDDB" w14:textId="081B1560" w:rsidR="0069559E" w:rsidRDefault="0069559E" w:rsidP="006E0458">
      <w:pPr>
        <w:rPr>
          <w:rFonts w:ascii="Times New Roman" w:hAnsi="Times New Roman" w:cs="Geneva"/>
          <w:color w:val="000000"/>
        </w:rPr>
      </w:pPr>
      <w:r>
        <w:rPr>
          <w:noProof/>
        </w:rPr>
        <w:drawing>
          <wp:inline distT="0" distB="0" distL="0" distR="0" wp14:anchorId="120FBFF8" wp14:editId="0283EDC4">
            <wp:extent cx="3467100" cy="2679700"/>
            <wp:effectExtent l="0" t="0" r="1270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87A64F" w14:textId="77777777" w:rsidR="0069559E" w:rsidRDefault="0069559E" w:rsidP="006E0458">
      <w:pPr>
        <w:rPr>
          <w:rFonts w:ascii="Times New Roman" w:hAnsi="Times New Roman" w:cs="Geneva"/>
          <w:color w:val="000000"/>
        </w:rPr>
      </w:pPr>
    </w:p>
    <w:p w14:paraId="2DFA8EDC" w14:textId="0141375F" w:rsidR="0069559E" w:rsidRDefault="0069559E" w:rsidP="0069559E">
      <w:pPr>
        <w:rPr>
          <w:rFonts w:ascii="Times New Roman" w:hAnsi="Times New Roman"/>
        </w:rPr>
      </w:pPr>
      <w:r>
        <w:rPr>
          <w:rFonts w:ascii="Times New Roman" w:hAnsi="Times New Roman" w:cs="Geneva"/>
          <w:color w:val="000000"/>
        </w:rPr>
        <w:t>2.3.3.</w:t>
      </w:r>
      <w:r w:rsidRPr="0069559E">
        <w:rPr>
          <w:rFonts w:ascii="Times New Roman" w:hAnsi="Times New Roman"/>
        </w:rPr>
        <w:t xml:space="preserve"> </w:t>
      </w:r>
      <w:r>
        <w:rPr>
          <w:rFonts w:ascii="Times New Roman" w:hAnsi="Times New Roman"/>
        </w:rPr>
        <w:t>Students’ SL grades at class level 6 and academic achievement at USC</w:t>
      </w:r>
    </w:p>
    <w:p w14:paraId="4AA75B59" w14:textId="01F029EE" w:rsidR="007E5FE0" w:rsidRDefault="007E5FE0" w:rsidP="00140D70">
      <w:pPr>
        <w:rPr>
          <w:rFonts w:ascii="Times New Roman" w:hAnsi="Times New Roman"/>
        </w:rPr>
      </w:pPr>
      <w:r>
        <w:rPr>
          <w:rFonts w:ascii="Times New Roman" w:hAnsi="Times New Roman" w:cs="Geneva"/>
          <w:color w:val="000000"/>
        </w:rPr>
        <w:t xml:space="preserve">Unlike SL Level 5 students, SL Level 6 students did not show a negative correlation between their grade levels and their GPA and the scores from English 101 and 102. The scores from English 102 showed the strongest correlation but had an exception of the case of grade D-F students. The other 2 measures (GPA and the score from English 101) seem to show a weak correlation with students’ </w:t>
      </w:r>
      <w:r w:rsidR="00140D70">
        <w:rPr>
          <w:rFonts w:ascii="Times New Roman" w:hAnsi="Times New Roman" w:cs="Geneva"/>
          <w:color w:val="000000"/>
        </w:rPr>
        <w:t>grade level at SL classes but had a big exception of grade C students’ highest GPA in the case of GPA or no difference in mean scores between grade B students and grade C students in the case of English 101.</w:t>
      </w:r>
      <w:r>
        <w:rPr>
          <w:rFonts w:ascii="Times New Roman" w:hAnsi="Times New Roman" w:cs="Geneva"/>
          <w:color w:val="000000"/>
        </w:rPr>
        <w:t xml:space="preserve"> Overall, the gra</w:t>
      </w:r>
      <w:r w:rsidR="00140D70">
        <w:rPr>
          <w:rFonts w:ascii="Times New Roman" w:hAnsi="Times New Roman" w:cs="Geneva"/>
          <w:color w:val="000000"/>
        </w:rPr>
        <w:t>de levels at SL level 6</w:t>
      </w:r>
      <w:r>
        <w:rPr>
          <w:rFonts w:ascii="Times New Roman" w:hAnsi="Times New Roman" w:cs="Geneva"/>
          <w:color w:val="000000"/>
        </w:rPr>
        <w:t xml:space="preserve"> classes </w:t>
      </w:r>
      <w:r w:rsidR="00140D70">
        <w:rPr>
          <w:rFonts w:ascii="Times New Roman" w:hAnsi="Times New Roman" w:cs="Geneva"/>
          <w:color w:val="000000"/>
        </w:rPr>
        <w:t xml:space="preserve">do not </w:t>
      </w:r>
      <w:r>
        <w:rPr>
          <w:rFonts w:ascii="Times New Roman" w:hAnsi="Times New Roman" w:cs="Geneva"/>
          <w:color w:val="000000"/>
        </w:rPr>
        <w:t xml:space="preserve">have </w:t>
      </w:r>
      <w:r w:rsidR="00140D70">
        <w:rPr>
          <w:rFonts w:ascii="Times New Roman" w:hAnsi="Times New Roman" w:cs="Geneva"/>
          <w:color w:val="000000"/>
        </w:rPr>
        <w:t xml:space="preserve">very weak </w:t>
      </w:r>
      <w:r>
        <w:rPr>
          <w:rFonts w:ascii="Times New Roman" w:hAnsi="Times New Roman" w:cs="Geneva"/>
          <w:color w:val="000000"/>
        </w:rPr>
        <w:t>power in predicting the performance level of students in college.</w:t>
      </w:r>
    </w:p>
    <w:p w14:paraId="32DFB173" w14:textId="77777777" w:rsidR="007E5FE0" w:rsidRDefault="007E5FE0" w:rsidP="0069559E">
      <w:pPr>
        <w:rPr>
          <w:rFonts w:ascii="Times New Roman" w:hAnsi="Times New Roman"/>
        </w:rPr>
      </w:pPr>
    </w:p>
    <w:p w14:paraId="30650957" w14:textId="77777777" w:rsidR="00697642" w:rsidRDefault="00697642" w:rsidP="0069559E">
      <w:pPr>
        <w:rPr>
          <w:rFonts w:ascii="Times New Roman" w:hAnsi="Times New Roman"/>
        </w:rPr>
      </w:pPr>
    </w:p>
    <w:p w14:paraId="607EAB11" w14:textId="16757B73" w:rsidR="0069559E" w:rsidRDefault="00A343C7" w:rsidP="0069559E">
      <w:pPr>
        <w:rPr>
          <w:rFonts w:ascii="Times New Roman" w:hAnsi="Times New Roman"/>
        </w:rPr>
      </w:pPr>
      <w:r>
        <w:rPr>
          <w:rFonts w:ascii="Times New Roman" w:hAnsi="Times New Roman"/>
        </w:rPr>
        <w:t>Table 14. Level 6</w:t>
      </w:r>
      <w:r w:rsidR="0069559E">
        <w:rPr>
          <w:rFonts w:ascii="Times New Roman" w:hAnsi="Times New Roman"/>
        </w:rPr>
        <w:t xml:space="preserve"> Students’ SL Grades vs. Average GPAs and Scores from English 101 and 102</w:t>
      </w:r>
    </w:p>
    <w:tbl>
      <w:tblPr>
        <w:tblStyle w:val="TableGrid"/>
        <w:tblW w:w="0" w:type="auto"/>
        <w:tblLayout w:type="fixed"/>
        <w:tblLook w:val="04A0" w:firstRow="1" w:lastRow="0" w:firstColumn="1" w:lastColumn="0" w:noHBand="0" w:noVBand="1"/>
      </w:tblPr>
      <w:tblGrid>
        <w:gridCol w:w="1300"/>
        <w:gridCol w:w="1148"/>
        <w:gridCol w:w="1452"/>
        <w:gridCol w:w="2238"/>
      </w:tblGrid>
      <w:tr w:rsidR="0069559E" w:rsidRPr="0069559E" w14:paraId="20FFDC0E" w14:textId="77777777" w:rsidTr="00A707C4">
        <w:trPr>
          <w:trHeight w:val="320"/>
        </w:trPr>
        <w:tc>
          <w:tcPr>
            <w:tcW w:w="1300" w:type="dxa"/>
            <w:noWrap/>
            <w:hideMark/>
          </w:tcPr>
          <w:p w14:paraId="7F0471A4"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 xml:space="preserve">Grade </w:t>
            </w:r>
          </w:p>
        </w:tc>
        <w:tc>
          <w:tcPr>
            <w:tcW w:w="1148" w:type="dxa"/>
            <w:noWrap/>
            <w:hideMark/>
          </w:tcPr>
          <w:p w14:paraId="6888A7AC"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GPA</w:t>
            </w:r>
          </w:p>
        </w:tc>
        <w:tc>
          <w:tcPr>
            <w:tcW w:w="1452" w:type="dxa"/>
            <w:noWrap/>
            <w:hideMark/>
          </w:tcPr>
          <w:p w14:paraId="5D955E81"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English 101</w:t>
            </w:r>
          </w:p>
        </w:tc>
        <w:tc>
          <w:tcPr>
            <w:tcW w:w="2238" w:type="dxa"/>
            <w:noWrap/>
            <w:hideMark/>
          </w:tcPr>
          <w:p w14:paraId="46575FB7"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English 102</w:t>
            </w:r>
          </w:p>
        </w:tc>
      </w:tr>
      <w:tr w:rsidR="0069559E" w:rsidRPr="0069559E" w14:paraId="1D9AE488" w14:textId="77777777" w:rsidTr="00A707C4">
        <w:trPr>
          <w:trHeight w:val="460"/>
        </w:trPr>
        <w:tc>
          <w:tcPr>
            <w:tcW w:w="1300" w:type="dxa"/>
            <w:noWrap/>
            <w:hideMark/>
          </w:tcPr>
          <w:p w14:paraId="12A9C022"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6a</w:t>
            </w:r>
          </w:p>
        </w:tc>
        <w:tc>
          <w:tcPr>
            <w:tcW w:w="1148" w:type="dxa"/>
            <w:noWrap/>
            <w:hideMark/>
          </w:tcPr>
          <w:p w14:paraId="153C90ED"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3.31</w:t>
            </w:r>
          </w:p>
        </w:tc>
        <w:tc>
          <w:tcPr>
            <w:tcW w:w="1452" w:type="dxa"/>
            <w:noWrap/>
            <w:hideMark/>
          </w:tcPr>
          <w:p w14:paraId="4F908CE5"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3.41</w:t>
            </w:r>
          </w:p>
        </w:tc>
        <w:tc>
          <w:tcPr>
            <w:tcW w:w="2238" w:type="dxa"/>
            <w:noWrap/>
            <w:hideMark/>
          </w:tcPr>
          <w:p w14:paraId="7779FAE4"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3.6</w:t>
            </w:r>
          </w:p>
        </w:tc>
      </w:tr>
      <w:tr w:rsidR="0069559E" w:rsidRPr="0069559E" w14:paraId="207A9F02" w14:textId="77777777" w:rsidTr="00A707C4">
        <w:trPr>
          <w:trHeight w:val="300"/>
        </w:trPr>
        <w:tc>
          <w:tcPr>
            <w:tcW w:w="1300" w:type="dxa"/>
            <w:noWrap/>
            <w:hideMark/>
          </w:tcPr>
          <w:p w14:paraId="5A3DF7DE"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6b</w:t>
            </w:r>
          </w:p>
        </w:tc>
        <w:tc>
          <w:tcPr>
            <w:tcW w:w="1148" w:type="dxa"/>
            <w:noWrap/>
            <w:hideMark/>
          </w:tcPr>
          <w:p w14:paraId="165ADDE9"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3.23</w:t>
            </w:r>
          </w:p>
        </w:tc>
        <w:tc>
          <w:tcPr>
            <w:tcW w:w="1452" w:type="dxa"/>
            <w:noWrap/>
            <w:hideMark/>
          </w:tcPr>
          <w:p w14:paraId="36FFFA74"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3.18</w:t>
            </w:r>
          </w:p>
        </w:tc>
        <w:tc>
          <w:tcPr>
            <w:tcW w:w="2238" w:type="dxa"/>
            <w:noWrap/>
            <w:hideMark/>
          </w:tcPr>
          <w:p w14:paraId="15380092"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3.43</w:t>
            </w:r>
          </w:p>
        </w:tc>
      </w:tr>
      <w:tr w:rsidR="0069559E" w:rsidRPr="0069559E" w14:paraId="018CFA1D" w14:textId="77777777" w:rsidTr="00A707C4">
        <w:trPr>
          <w:trHeight w:val="300"/>
        </w:trPr>
        <w:tc>
          <w:tcPr>
            <w:tcW w:w="1300" w:type="dxa"/>
            <w:noWrap/>
            <w:hideMark/>
          </w:tcPr>
          <w:p w14:paraId="1B32CB86"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6c</w:t>
            </w:r>
          </w:p>
        </w:tc>
        <w:tc>
          <w:tcPr>
            <w:tcW w:w="1148" w:type="dxa"/>
            <w:noWrap/>
            <w:hideMark/>
          </w:tcPr>
          <w:p w14:paraId="06B68536"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3.64</w:t>
            </w:r>
          </w:p>
        </w:tc>
        <w:tc>
          <w:tcPr>
            <w:tcW w:w="1452" w:type="dxa"/>
            <w:noWrap/>
            <w:hideMark/>
          </w:tcPr>
          <w:p w14:paraId="23211E91"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3.25</w:t>
            </w:r>
          </w:p>
        </w:tc>
        <w:tc>
          <w:tcPr>
            <w:tcW w:w="2238" w:type="dxa"/>
            <w:noWrap/>
            <w:hideMark/>
          </w:tcPr>
          <w:p w14:paraId="489E721F"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3.17</w:t>
            </w:r>
          </w:p>
        </w:tc>
      </w:tr>
      <w:tr w:rsidR="0069559E" w:rsidRPr="0069559E" w14:paraId="23921BFE" w14:textId="77777777" w:rsidTr="00A707C4">
        <w:trPr>
          <w:trHeight w:val="300"/>
        </w:trPr>
        <w:tc>
          <w:tcPr>
            <w:tcW w:w="1300" w:type="dxa"/>
            <w:noWrap/>
            <w:hideMark/>
          </w:tcPr>
          <w:p w14:paraId="1863DEC3" w14:textId="77777777" w:rsidR="0069559E" w:rsidRPr="0069559E" w:rsidRDefault="0069559E">
            <w:pPr>
              <w:rPr>
                <w:rFonts w:ascii="Times New Roman" w:hAnsi="Times New Roman" w:cs="Geneva"/>
                <w:color w:val="000000"/>
              </w:rPr>
            </w:pPr>
            <w:r w:rsidRPr="0069559E">
              <w:rPr>
                <w:rFonts w:ascii="Times New Roman" w:hAnsi="Times New Roman" w:cs="Geneva"/>
                <w:color w:val="000000"/>
              </w:rPr>
              <w:t>6d-6f</w:t>
            </w:r>
          </w:p>
        </w:tc>
        <w:tc>
          <w:tcPr>
            <w:tcW w:w="1148" w:type="dxa"/>
            <w:noWrap/>
            <w:hideMark/>
          </w:tcPr>
          <w:p w14:paraId="4A65A978"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2.93</w:t>
            </w:r>
          </w:p>
        </w:tc>
        <w:tc>
          <w:tcPr>
            <w:tcW w:w="1452" w:type="dxa"/>
            <w:noWrap/>
            <w:hideMark/>
          </w:tcPr>
          <w:p w14:paraId="392342A3"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w:t>
            </w:r>
          </w:p>
        </w:tc>
        <w:tc>
          <w:tcPr>
            <w:tcW w:w="2238" w:type="dxa"/>
            <w:noWrap/>
            <w:hideMark/>
          </w:tcPr>
          <w:p w14:paraId="18C047E0" w14:textId="77777777" w:rsidR="0069559E" w:rsidRPr="0069559E" w:rsidRDefault="0069559E" w:rsidP="0069559E">
            <w:pPr>
              <w:rPr>
                <w:rFonts w:ascii="Times New Roman" w:hAnsi="Times New Roman" w:cs="Geneva"/>
                <w:color w:val="000000"/>
              </w:rPr>
            </w:pPr>
            <w:r w:rsidRPr="0069559E">
              <w:rPr>
                <w:rFonts w:ascii="Times New Roman" w:hAnsi="Times New Roman" w:cs="Geneva"/>
                <w:color w:val="000000"/>
              </w:rPr>
              <w:t>3.39</w:t>
            </w:r>
          </w:p>
        </w:tc>
      </w:tr>
    </w:tbl>
    <w:p w14:paraId="2503DFF8" w14:textId="2162A5C8" w:rsidR="0069559E" w:rsidRDefault="0069559E" w:rsidP="006E0458">
      <w:pPr>
        <w:rPr>
          <w:rFonts w:ascii="Times New Roman" w:hAnsi="Times New Roman" w:cs="Geneva"/>
          <w:color w:val="000000"/>
        </w:rPr>
      </w:pPr>
    </w:p>
    <w:p w14:paraId="1A4524DD" w14:textId="77777777" w:rsidR="00140D70" w:rsidRDefault="00140D70" w:rsidP="0069559E">
      <w:pPr>
        <w:rPr>
          <w:rFonts w:ascii="Times New Roman" w:hAnsi="Times New Roman"/>
        </w:rPr>
      </w:pPr>
    </w:p>
    <w:p w14:paraId="69A3EFA7" w14:textId="77777777" w:rsidR="00140D70" w:rsidRDefault="00140D70" w:rsidP="0069559E">
      <w:pPr>
        <w:rPr>
          <w:rFonts w:ascii="Times New Roman" w:hAnsi="Times New Roman"/>
        </w:rPr>
      </w:pPr>
    </w:p>
    <w:p w14:paraId="1386B6B6" w14:textId="0AECE4BC" w:rsidR="0069559E" w:rsidRDefault="00A343C7" w:rsidP="0069559E">
      <w:pPr>
        <w:rPr>
          <w:rFonts w:ascii="Times New Roman" w:hAnsi="Times New Roman"/>
        </w:rPr>
      </w:pPr>
      <w:r>
        <w:rPr>
          <w:rFonts w:ascii="Times New Roman" w:hAnsi="Times New Roman"/>
        </w:rPr>
        <w:t>Figure 16. Level 6</w:t>
      </w:r>
      <w:r w:rsidR="0069559E">
        <w:rPr>
          <w:rFonts w:ascii="Times New Roman" w:hAnsi="Times New Roman"/>
        </w:rPr>
        <w:t xml:space="preserve"> Students’ SL Grades vs. Average GPAs and Scores from English 101 and 102</w:t>
      </w:r>
    </w:p>
    <w:p w14:paraId="346F0013" w14:textId="0D523715" w:rsidR="0069559E" w:rsidRDefault="0069559E" w:rsidP="006E0458">
      <w:pPr>
        <w:rPr>
          <w:rFonts w:ascii="Times New Roman" w:hAnsi="Times New Roman" w:cs="Geneva"/>
          <w:color w:val="000000"/>
        </w:rPr>
      </w:pPr>
      <w:r>
        <w:rPr>
          <w:noProof/>
        </w:rPr>
        <w:drawing>
          <wp:inline distT="0" distB="0" distL="0" distR="0" wp14:anchorId="2617D7DA" wp14:editId="346C4610">
            <wp:extent cx="3709035" cy="2402840"/>
            <wp:effectExtent l="0" t="0" r="24765" b="355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2D2211" w14:textId="77777777" w:rsidR="00F25763" w:rsidRPr="00F25763" w:rsidRDefault="00F25763" w:rsidP="00F25763">
      <w:pPr>
        <w:widowControl w:val="0"/>
        <w:autoSpaceDE w:val="0"/>
        <w:autoSpaceDN w:val="0"/>
        <w:adjustRightInd w:val="0"/>
        <w:spacing w:after="0"/>
        <w:rPr>
          <w:rFonts w:ascii="Times New Roman" w:hAnsi="Times New Roman"/>
        </w:rPr>
      </w:pPr>
    </w:p>
    <w:p w14:paraId="1184B69C" w14:textId="1298001A" w:rsidR="0069559E" w:rsidRDefault="00954154" w:rsidP="0069559E">
      <w:pPr>
        <w:rPr>
          <w:rFonts w:ascii="Times New Roman" w:hAnsi="Times New Roman"/>
        </w:rPr>
      </w:pPr>
      <w:r>
        <w:rPr>
          <w:rFonts w:ascii="Times New Roman" w:hAnsi="Times New Roman"/>
        </w:rPr>
        <w:t>2.3</w:t>
      </w:r>
      <w:r w:rsidR="0069559E">
        <w:rPr>
          <w:rFonts w:ascii="Times New Roman" w:hAnsi="Times New Roman"/>
        </w:rPr>
        <w:t xml:space="preserve">.4 Students’ academic achievement at USC and SL class levels </w:t>
      </w:r>
    </w:p>
    <w:p w14:paraId="1B248C7E" w14:textId="1886D6B8" w:rsidR="00F57E2A" w:rsidRDefault="00F57E2A" w:rsidP="00A343C7">
      <w:pPr>
        <w:widowControl w:val="0"/>
        <w:autoSpaceDE w:val="0"/>
        <w:autoSpaceDN w:val="0"/>
        <w:adjustRightInd w:val="0"/>
        <w:spacing w:after="0"/>
        <w:rPr>
          <w:rFonts w:ascii="Times New Roman" w:hAnsi="Times New Roman" w:cs="Geneva"/>
          <w:color w:val="000000"/>
        </w:rPr>
      </w:pPr>
      <w:r>
        <w:rPr>
          <w:rFonts w:ascii="Times New Roman" w:hAnsi="Times New Roman" w:cs="Geneva"/>
          <w:color w:val="000000"/>
        </w:rPr>
        <w:t>Like the case of RV classes, as Table 15 shows, the comparison of the average GPAs and scores from English 101 and 102 between level 5 and level 6 students</w:t>
      </w:r>
      <w:r w:rsidRPr="00825702">
        <w:rPr>
          <w:rFonts w:ascii="Times New Roman" w:hAnsi="Times New Roman" w:cs="Geneva"/>
          <w:color w:val="000000"/>
        </w:rPr>
        <w:t xml:space="preserve"> </w:t>
      </w:r>
      <w:r>
        <w:rPr>
          <w:rFonts w:ascii="Times New Roman" w:hAnsi="Times New Roman" w:cs="Geneva"/>
          <w:color w:val="000000"/>
        </w:rPr>
        <w:t>across different EPI grades did not show a unidirectional pa</w:t>
      </w:r>
      <w:r w:rsidR="00697642">
        <w:rPr>
          <w:rFonts w:ascii="Times New Roman" w:hAnsi="Times New Roman" w:cs="Geneva"/>
          <w:color w:val="000000"/>
        </w:rPr>
        <w:t>ttern of differences. Figure 17</w:t>
      </w:r>
      <w:r>
        <w:rPr>
          <w:rFonts w:ascii="Times New Roman" w:hAnsi="Times New Roman" w:cs="Geneva"/>
          <w:color w:val="000000"/>
        </w:rPr>
        <w:t xml:space="preserve"> and Figure 18 show that the mean GPA and the score from English 101 respectively were higher in some cases or lower in other cases for level 5 students than level 6 students.  The scores from English 102, as Figure 19 shows, </w:t>
      </w:r>
      <w:r w:rsidR="00A343C7">
        <w:rPr>
          <w:rFonts w:ascii="Times New Roman" w:hAnsi="Times New Roman" w:cs="Geneva"/>
          <w:color w:val="000000"/>
        </w:rPr>
        <w:t xml:space="preserve">were not different between the two levels. </w:t>
      </w:r>
      <w:r w:rsidRPr="004D4F73">
        <w:rPr>
          <w:rFonts w:ascii="Times New Roman" w:hAnsi="Times New Roman" w:cs="Geneva"/>
          <w:color w:val="000000"/>
          <w:highlight w:val="yellow"/>
        </w:rPr>
        <w:t>This means that students’ difference in class level doesn’t have any correlation with their academic performance level in college and cannot have any predictive power for students academic ability.</w:t>
      </w:r>
    </w:p>
    <w:p w14:paraId="5B41B715" w14:textId="77777777" w:rsidR="00F25763" w:rsidRDefault="00F25763" w:rsidP="00FB1207">
      <w:pPr>
        <w:widowControl w:val="0"/>
        <w:autoSpaceDE w:val="0"/>
        <w:autoSpaceDN w:val="0"/>
        <w:adjustRightInd w:val="0"/>
        <w:spacing w:after="0"/>
        <w:rPr>
          <w:rFonts w:ascii="Times New Roman" w:hAnsi="Times New Roman"/>
        </w:rPr>
      </w:pPr>
    </w:p>
    <w:p w14:paraId="512DC171" w14:textId="77777777" w:rsidR="00140D70" w:rsidRDefault="00140D70" w:rsidP="00954154">
      <w:pPr>
        <w:rPr>
          <w:rFonts w:ascii="Times New Roman" w:hAnsi="Times New Roman"/>
        </w:rPr>
      </w:pPr>
    </w:p>
    <w:p w14:paraId="4A0F3C50" w14:textId="79253FCB" w:rsidR="00954154" w:rsidRPr="00954154" w:rsidRDefault="00954154" w:rsidP="00954154">
      <w:pPr>
        <w:rPr>
          <w:rFonts w:ascii="Times New Roman" w:hAnsi="Times New Roman"/>
        </w:rPr>
      </w:pPr>
      <w:r>
        <w:rPr>
          <w:rFonts w:ascii="Times New Roman" w:hAnsi="Times New Roman"/>
        </w:rPr>
        <w:t>Table 15. The Comparison of Level 5 and Level 6 Students’ RV grades</w:t>
      </w:r>
      <w:r w:rsidRPr="009C4A98">
        <w:rPr>
          <w:rFonts w:ascii="Times New Roman" w:hAnsi="Times New Roman"/>
        </w:rPr>
        <w:t xml:space="preserve"> </w:t>
      </w:r>
      <w:r>
        <w:rPr>
          <w:rFonts w:ascii="Times New Roman" w:hAnsi="Times New Roman"/>
        </w:rPr>
        <w:t>and academic work</w:t>
      </w:r>
    </w:p>
    <w:tbl>
      <w:tblPr>
        <w:tblW w:w="6500" w:type="dxa"/>
        <w:tblInd w:w="93" w:type="dxa"/>
        <w:tblLook w:val="04A0" w:firstRow="1" w:lastRow="0" w:firstColumn="1" w:lastColumn="0" w:noHBand="0" w:noVBand="1"/>
      </w:tblPr>
      <w:tblGrid>
        <w:gridCol w:w="1300"/>
        <w:gridCol w:w="1300"/>
        <w:gridCol w:w="1300"/>
        <w:gridCol w:w="1300"/>
        <w:gridCol w:w="1300"/>
      </w:tblGrid>
      <w:tr w:rsidR="00954154" w:rsidRPr="00954154" w14:paraId="6691B605" w14:textId="77777777" w:rsidTr="00954154">
        <w:trPr>
          <w:trHeight w:val="460"/>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45747"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SL grades</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78C51B54"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SL levels</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3CB64BDE"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GPA</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38896249"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English 101</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98C4DCF"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English 102</w:t>
            </w:r>
          </w:p>
        </w:tc>
      </w:tr>
      <w:tr w:rsidR="00954154" w:rsidRPr="00954154" w14:paraId="21508B0B" w14:textId="77777777" w:rsidTr="00954154">
        <w:trPr>
          <w:trHeight w:val="320"/>
        </w:trPr>
        <w:tc>
          <w:tcPr>
            <w:tcW w:w="1300" w:type="dxa"/>
            <w:tcBorders>
              <w:top w:val="nil"/>
              <w:left w:val="single" w:sz="8" w:space="0" w:color="auto"/>
              <w:bottom w:val="nil"/>
              <w:right w:val="single" w:sz="8" w:space="0" w:color="auto"/>
            </w:tcBorders>
            <w:shd w:val="clear" w:color="auto" w:fill="auto"/>
            <w:noWrap/>
            <w:vAlign w:val="center"/>
            <w:hideMark/>
          </w:tcPr>
          <w:p w14:paraId="7F00C404" w14:textId="6061841B" w:rsidR="00954154" w:rsidRPr="00954154" w:rsidRDefault="00205B86" w:rsidP="0095415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300" w:type="dxa"/>
            <w:tcBorders>
              <w:top w:val="nil"/>
              <w:left w:val="nil"/>
              <w:bottom w:val="single" w:sz="8" w:space="0" w:color="auto"/>
              <w:right w:val="single" w:sz="8" w:space="0" w:color="auto"/>
            </w:tcBorders>
            <w:shd w:val="clear" w:color="auto" w:fill="auto"/>
            <w:noWrap/>
            <w:vAlign w:val="center"/>
            <w:hideMark/>
          </w:tcPr>
          <w:p w14:paraId="5B6CC45D"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Level 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607D0"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3.33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056A335"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2.79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6C010C7"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3.71</w:t>
            </w:r>
          </w:p>
        </w:tc>
      </w:tr>
      <w:tr w:rsidR="00954154" w:rsidRPr="00954154" w14:paraId="1456264E" w14:textId="77777777" w:rsidTr="00954154">
        <w:trPr>
          <w:trHeight w:val="460"/>
        </w:trPr>
        <w:tc>
          <w:tcPr>
            <w:tcW w:w="1300" w:type="dxa"/>
            <w:tcBorders>
              <w:top w:val="nil"/>
              <w:left w:val="single" w:sz="8" w:space="0" w:color="auto"/>
              <w:bottom w:val="single" w:sz="8" w:space="0" w:color="000000"/>
              <w:right w:val="single" w:sz="8" w:space="0" w:color="auto"/>
            </w:tcBorders>
            <w:shd w:val="clear" w:color="auto" w:fill="auto"/>
            <w:noWrap/>
            <w:vAlign w:val="center"/>
            <w:hideMark/>
          </w:tcPr>
          <w:p w14:paraId="29F2FC4A"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center"/>
            <w:hideMark/>
          </w:tcPr>
          <w:p w14:paraId="69C56DCF"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Level 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612909D"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3.44</w:t>
            </w:r>
          </w:p>
        </w:tc>
        <w:tc>
          <w:tcPr>
            <w:tcW w:w="1300" w:type="dxa"/>
            <w:tcBorders>
              <w:top w:val="nil"/>
              <w:left w:val="nil"/>
              <w:bottom w:val="single" w:sz="4" w:space="0" w:color="auto"/>
              <w:right w:val="single" w:sz="4" w:space="0" w:color="auto"/>
            </w:tcBorders>
            <w:shd w:val="clear" w:color="auto" w:fill="auto"/>
            <w:noWrap/>
            <w:vAlign w:val="bottom"/>
            <w:hideMark/>
          </w:tcPr>
          <w:p w14:paraId="2142BEE3"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3.22</w:t>
            </w:r>
          </w:p>
        </w:tc>
        <w:tc>
          <w:tcPr>
            <w:tcW w:w="1300" w:type="dxa"/>
            <w:tcBorders>
              <w:top w:val="nil"/>
              <w:left w:val="nil"/>
              <w:bottom w:val="single" w:sz="4" w:space="0" w:color="auto"/>
              <w:right w:val="single" w:sz="4" w:space="0" w:color="auto"/>
            </w:tcBorders>
            <w:shd w:val="clear" w:color="auto" w:fill="auto"/>
            <w:noWrap/>
            <w:vAlign w:val="bottom"/>
            <w:hideMark/>
          </w:tcPr>
          <w:p w14:paraId="18A1DADE"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3.77</w:t>
            </w:r>
          </w:p>
        </w:tc>
      </w:tr>
      <w:tr w:rsidR="00954154" w:rsidRPr="00954154" w14:paraId="09AE19AF" w14:textId="77777777" w:rsidTr="00954154">
        <w:trPr>
          <w:trHeight w:val="460"/>
        </w:trPr>
        <w:tc>
          <w:tcPr>
            <w:tcW w:w="1300" w:type="dxa"/>
            <w:tcBorders>
              <w:top w:val="nil"/>
              <w:left w:val="single" w:sz="8" w:space="0" w:color="auto"/>
              <w:bottom w:val="nil"/>
              <w:right w:val="single" w:sz="8" w:space="0" w:color="auto"/>
            </w:tcBorders>
            <w:shd w:val="clear" w:color="auto" w:fill="auto"/>
            <w:noWrap/>
            <w:vAlign w:val="center"/>
            <w:hideMark/>
          </w:tcPr>
          <w:p w14:paraId="480845E4" w14:textId="1DA1150F" w:rsidR="00954154" w:rsidRPr="00954154" w:rsidRDefault="00205B86" w:rsidP="0095415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300" w:type="dxa"/>
            <w:tcBorders>
              <w:top w:val="nil"/>
              <w:left w:val="nil"/>
              <w:bottom w:val="single" w:sz="8" w:space="0" w:color="auto"/>
              <w:right w:val="single" w:sz="8" w:space="0" w:color="auto"/>
            </w:tcBorders>
            <w:shd w:val="clear" w:color="auto" w:fill="auto"/>
            <w:noWrap/>
            <w:vAlign w:val="center"/>
            <w:hideMark/>
          </w:tcPr>
          <w:p w14:paraId="006E2794"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Level 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F113E3"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3.49</w:t>
            </w:r>
          </w:p>
        </w:tc>
        <w:tc>
          <w:tcPr>
            <w:tcW w:w="1300" w:type="dxa"/>
            <w:tcBorders>
              <w:top w:val="nil"/>
              <w:left w:val="nil"/>
              <w:bottom w:val="single" w:sz="4" w:space="0" w:color="auto"/>
              <w:right w:val="single" w:sz="4" w:space="0" w:color="auto"/>
            </w:tcBorders>
            <w:shd w:val="clear" w:color="auto" w:fill="auto"/>
            <w:noWrap/>
            <w:vAlign w:val="bottom"/>
            <w:hideMark/>
          </w:tcPr>
          <w:p w14:paraId="6794AB01"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3.15</w:t>
            </w:r>
          </w:p>
        </w:tc>
        <w:tc>
          <w:tcPr>
            <w:tcW w:w="1300" w:type="dxa"/>
            <w:tcBorders>
              <w:top w:val="nil"/>
              <w:left w:val="nil"/>
              <w:bottom w:val="single" w:sz="4" w:space="0" w:color="auto"/>
              <w:right w:val="single" w:sz="4" w:space="0" w:color="auto"/>
            </w:tcBorders>
            <w:shd w:val="clear" w:color="auto" w:fill="auto"/>
            <w:noWrap/>
            <w:vAlign w:val="bottom"/>
            <w:hideMark/>
          </w:tcPr>
          <w:p w14:paraId="4D712BE7"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3.4</w:t>
            </w:r>
          </w:p>
        </w:tc>
      </w:tr>
      <w:tr w:rsidR="00954154" w:rsidRPr="00954154" w14:paraId="3B44274A" w14:textId="77777777" w:rsidTr="00954154">
        <w:trPr>
          <w:trHeight w:val="320"/>
        </w:trPr>
        <w:tc>
          <w:tcPr>
            <w:tcW w:w="1300" w:type="dxa"/>
            <w:tcBorders>
              <w:top w:val="nil"/>
              <w:left w:val="single" w:sz="8" w:space="0" w:color="auto"/>
              <w:bottom w:val="single" w:sz="8" w:space="0" w:color="000000"/>
              <w:right w:val="single" w:sz="8" w:space="0" w:color="auto"/>
            </w:tcBorders>
            <w:shd w:val="clear" w:color="auto" w:fill="auto"/>
            <w:noWrap/>
            <w:vAlign w:val="center"/>
            <w:hideMark/>
          </w:tcPr>
          <w:p w14:paraId="771BFD1A"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center"/>
            <w:hideMark/>
          </w:tcPr>
          <w:p w14:paraId="07C9C6EF"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Level 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E1754C"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3.29</w:t>
            </w:r>
          </w:p>
        </w:tc>
        <w:tc>
          <w:tcPr>
            <w:tcW w:w="1300" w:type="dxa"/>
            <w:tcBorders>
              <w:top w:val="nil"/>
              <w:left w:val="nil"/>
              <w:bottom w:val="single" w:sz="4" w:space="0" w:color="auto"/>
              <w:right w:val="single" w:sz="4" w:space="0" w:color="auto"/>
            </w:tcBorders>
            <w:shd w:val="clear" w:color="auto" w:fill="auto"/>
            <w:noWrap/>
            <w:vAlign w:val="bottom"/>
            <w:hideMark/>
          </w:tcPr>
          <w:p w14:paraId="7E5DC078"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3.42</w:t>
            </w:r>
          </w:p>
        </w:tc>
        <w:tc>
          <w:tcPr>
            <w:tcW w:w="1300" w:type="dxa"/>
            <w:tcBorders>
              <w:top w:val="nil"/>
              <w:left w:val="nil"/>
              <w:bottom w:val="single" w:sz="4" w:space="0" w:color="auto"/>
              <w:right w:val="single" w:sz="4" w:space="0" w:color="auto"/>
            </w:tcBorders>
            <w:shd w:val="clear" w:color="auto" w:fill="auto"/>
            <w:noWrap/>
            <w:vAlign w:val="bottom"/>
            <w:hideMark/>
          </w:tcPr>
          <w:p w14:paraId="6DADAFF4"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3.39</w:t>
            </w:r>
          </w:p>
        </w:tc>
      </w:tr>
      <w:tr w:rsidR="00954154" w:rsidRPr="00954154" w14:paraId="663C1C1C" w14:textId="77777777" w:rsidTr="00954154">
        <w:trPr>
          <w:trHeight w:val="320"/>
        </w:trPr>
        <w:tc>
          <w:tcPr>
            <w:tcW w:w="1300" w:type="dxa"/>
            <w:tcBorders>
              <w:top w:val="nil"/>
              <w:left w:val="single" w:sz="8" w:space="0" w:color="auto"/>
              <w:bottom w:val="nil"/>
              <w:right w:val="single" w:sz="8" w:space="0" w:color="auto"/>
            </w:tcBorders>
            <w:shd w:val="clear" w:color="auto" w:fill="auto"/>
            <w:noWrap/>
            <w:vAlign w:val="center"/>
            <w:hideMark/>
          </w:tcPr>
          <w:p w14:paraId="40A42144" w14:textId="05871A1D" w:rsidR="00954154" w:rsidRPr="00954154" w:rsidRDefault="00205B86" w:rsidP="0095415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C-F</w:t>
            </w:r>
          </w:p>
        </w:tc>
        <w:tc>
          <w:tcPr>
            <w:tcW w:w="1300" w:type="dxa"/>
            <w:tcBorders>
              <w:top w:val="nil"/>
              <w:left w:val="nil"/>
              <w:bottom w:val="single" w:sz="8" w:space="0" w:color="auto"/>
              <w:right w:val="single" w:sz="8" w:space="0" w:color="auto"/>
            </w:tcBorders>
            <w:shd w:val="clear" w:color="auto" w:fill="auto"/>
            <w:noWrap/>
            <w:vAlign w:val="center"/>
            <w:hideMark/>
          </w:tcPr>
          <w:p w14:paraId="739D104E"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Level 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878209"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3.53</w:t>
            </w:r>
          </w:p>
        </w:tc>
        <w:tc>
          <w:tcPr>
            <w:tcW w:w="1300" w:type="dxa"/>
            <w:tcBorders>
              <w:top w:val="nil"/>
              <w:left w:val="nil"/>
              <w:bottom w:val="single" w:sz="4" w:space="0" w:color="auto"/>
              <w:right w:val="single" w:sz="4" w:space="0" w:color="auto"/>
            </w:tcBorders>
            <w:shd w:val="clear" w:color="auto" w:fill="auto"/>
            <w:noWrap/>
            <w:vAlign w:val="bottom"/>
            <w:hideMark/>
          </w:tcPr>
          <w:p w14:paraId="48947D4B"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3.5</w:t>
            </w:r>
          </w:p>
        </w:tc>
        <w:tc>
          <w:tcPr>
            <w:tcW w:w="1300" w:type="dxa"/>
            <w:tcBorders>
              <w:top w:val="nil"/>
              <w:left w:val="nil"/>
              <w:bottom w:val="single" w:sz="4" w:space="0" w:color="auto"/>
              <w:right w:val="single" w:sz="4" w:space="0" w:color="auto"/>
            </w:tcBorders>
            <w:shd w:val="clear" w:color="auto" w:fill="auto"/>
            <w:noWrap/>
            <w:vAlign w:val="bottom"/>
            <w:hideMark/>
          </w:tcPr>
          <w:p w14:paraId="039780FD" w14:textId="77777777" w:rsidR="00954154" w:rsidRPr="00954154" w:rsidRDefault="00954154" w:rsidP="00954154">
            <w:pPr>
              <w:spacing w:after="0"/>
              <w:jc w:val="right"/>
              <w:rPr>
                <w:rFonts w:ascii="Calibri" w:eastAsia="Times New Roman" w:hAnsi="Calibri" w:cs="Times New Roman"/>
                <w:color w:val="000000"/>
                <w:sz w:val="22"/>
                <w:szCs w:val="22"/>
              </w:rPr>
            </w:pPr>
            <w:r w:rsidRPr="00954154">
              <w:rPr>
                <w:rFonts w:ascii="Calibri" w:eastAsia="Times New Roman" w:hAnsi="Calibri" w:cs="Times New Roman"/>
                <w:color w:val="000000"/>
                <w:sz w:val="22"/>
                <w:szCs w:val="22"/>
              </w:rPr>
              <w:t>3</w:t>
            </w:r>
          </w:p>
        </w:tc>
      </w:tr>
      <w:tr w:rsidR="00954154" w:rsidRPr="00954154" w14:paraId="7BA6541A" w14:textId="77777777" w:rsidTr="00954154">
        <w:trPr>
          <w:trHeight w:val="320"/>
        </w:trPr>
        <w:tc>
          <w:tcPr>
            <w:tcW w:w="1300" w:type="dxa"/>
            <w:tcBorders>
              <w:top w:val="nil"/>
              <w:left w:val="single" w:sz="8" w:space="0" w:color="auto"/>
              <w:bottom w:val="single" w:sz="8" w:space="0" w:color="000000"/>
              <w:right w:val="single" w:sz="8" w:space="0" w:color="auto"/>
            </w:tcBorders>
            <w:shd w:val="clear" w:color="auto" w:fill="auto"/>
            <w:noWrap/>
            <w:vAlign w:val="center"/>
            <w:hideMark/>
          </w:tcPr>
          <w:p w14:paraId="2B0F52D6"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center"/>
            <w:hideMark/>
          </w:tcPr>
          <w:p w14:paraId="05E9AE78" w14:textId="77777777" w:rsidR="00954154" w:rsidRPr="00954154" w:rsidRDefault="00954154" w:rsidP="00954154">
            <w:pPr>
              <w:spacing w:after="0"/>
              <w:rPr>
                <w:rFonts w:ascii="Times New Roman" w:eastAsia="Times New Roman" w:hAnsi="Times New Roman" w:cs="Times New Roman"/>
                <w:color w:val="000000"/>
              </w:rPr>
            </w:pPr>
            <w:r w:rsidRPr="00954154">
              <w:rPr>
                <w:rFonts w:ascii="Times New Roman" w:eastAsia="Times New Roman" w:hAnsi="Times New Roman" w:cs="Times New Roman"/>
                <w:color w:val="000000"/>
              </w:rPr>
              <w:t>Level 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D6D316" w14:textId="08A2E4E3" w:rsidR="00954154" w:rsidRPr="00954154" w:rsidRDefault="00954154" w:rsidP="00954154">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3.17</w:t>
            </w:r>
          </w:p>
        </w:tc>
        <w:tc>
          <w:tcPr>
            <w:tcW w:w="1300" w:type="dxa"/>
            <w:tcBorders>
              <w:top w:val="nil"/>
              <w:left w:val="nil"/>
              <w:bottom w:val="single" w:sz="4" w:space="0" w:color="auto"/>
              <w:right w:val="single" w:sz="4" w:space="0" w:color="auto"/>
            </w:tcBorders>
            <w:shd w:val="clear" w:color="auto" w:fill="auto"/>
            <w:noWrap/>
            <w:vAlign w:val="bottom"/>
            <w:hideMark/>
          </w:tcPr>
          <w:p w14:paraId="7C6CD43F" w14:textId="10898E5B" w:rsidR="00954154" w:rsidRPr="00954154" w:rsidRDefault="00954154" w:rsidP="00954154">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3.08</w:t>
            </w:r>
          </w:p>
        </w:tc>
        <w:tc>
          <w:tcPr>
            <w:tcW w:w="1300" w:type="dxa"/>
            <w:tcBorders>
              <w:top w:val="nil"/>
              <w:left w:val="nil"/>
              <w:bottom w:val="single" w:sz="4" w:space="0" w:color="auto"/>
              <w:right w:val="single" w:sz="4" w:space="0" w:color="auto"/>
            </w:tcBorders>
            <w:shd w:val="clear" w:color="auto" w:fill="auto"/>
            <w:noWrap/>
            <w:vAlign w:val="bottom"/>
            <w:hideMark/>
          </w:tcPr>
          <w:p w14:paraId="76176C65" w14:textId="58DCCEF9" w:rsidR="00954154" w:rsidRPr="00954154" w:rsidRDefault="00954154" w:rsidP="00954154">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3.33</w:t>
            </w:r>
          </w:p>
        </w:tc>
      </w:tr>
    </w:tbl>
    <w:p w14:paraId="6F274EAC" w14:textId="77777777" w:rsidR="004727F5" w:rsidRDefault="004727F5" w:rsidP="00FB1207">
      <w:pPr>
        <w:widowControl w:val="0"/>
        <w:autoSpaceDE w:val="0"/>
        <w:autoSpaceDN w:val="0"/>
        <w:adjustRightInd w:val="0"/>
        <w:spacing w:after="0"/>
        <w:rPr>
          <w:rFonts w:ascii="Times New Roman" w:hAnsi="Times New Roman"/>
        </w:rPr>
      </w:pPr>
    </w:p>
    <w:p w14:paraId="52020010" w14:textId="77777777" w:rsidR="004727F5" w:rsidRDefault="004727F5" w:rsidP="00FB1207">
      <w:pPr>
        <w:widowControl w:val="0"/>
        <w:autoSpaceDE w:val="0"/>
        <w:autoSpaceDN w:val="0"/>
        <w:adjustRightInd w:val="0"/>
        <w:spacing w:after="0"/>
        <w:rPr>
          <w:rFonts w:ascii="Times New Roman" w:hAnsi="Times New Roman"/>
        </w:rPr>
      </w:pPr>
    </w:p>
    <w:p w14:paraId="6362FBD8" w14:textId="77777777" w:rsidR="00140D70" w:rsidRDefault="00140D70" w:rsidP="00FB1207">
      <w:pPr>
        <w:widowControl w:val="0"/>
        <w:autoSpaceDE w:val="0"/>
        <w:autoSpaceDN w:val="0"/>
        <w:adjustRightInd w:val="0"/>
        <w:spacing w:after="0"/>
        <w:rPr>
          <w:rFonts w:ascii="Times New Roman" w:hAnsi="Times New Roman"/>
        </w:rPr>
      </w:pPr>
    </w:p>
    <w:p w14:paraId="6764679B" w14:textId="77777777" w:rsidR="00140D70" w:rsidRDefault="00140D70" w:rsidP="00FB1207">
      <w:pPr>
        <w:widowControl w:val="0"/>
        <w:autoSpaceDE w:val="0"/>
        <w:autoSpaceDN w:val="0"/>
        <w:adjustRightInd w:val="0"/>
        <w:spacing w:after="0"/>
        <w:rPr>
          <w:rFonts w:ascii="Times New Roman" w:hAnsi="Times New Roman"/>
        </w:rPr>
      </w:pPr>
    </w:p>
    <w:p w14:paraId="5CBB9B13" w14:textId="11E792DB" w:rsidR="004727F5" w:rsidRDefault="00F57E2A" w:rsidP="00140D70">
      <w:pPr>
        <w:rPr>
          <w:rFonts w:ascii="Times New Roman" w:hAnsi="Times New Roman"/>
        </w:rPr>
      </w:pPr>
      <w:r>
        <w:rPr>
          <w:rFonts w:ascii="Times New Roman" w:hAnsi="Times New Roman"/>
        </w:rPr>
        <w:t>Figure 17. The Comparison of Level 5 and Level 6 Students’ RV grades</w:t>
      </w:r>
      <w:r w:rsidRPr="009C4A98">
        <w:rPr>
          <w:rFonts w:ascii="Times New Roman" w:hAnsi="Times New Roman"/>
        </w:rPr>
        <w:t xml:space="preserve"> </w:t>
      </w:r>
      <w:r>
        <w:rPr>
          <w:rFonts w:ascii="Times New Roman" w:hAnsi="Times New Roman"/>
        </w:rPr>
        <w:t>and English 101</w:t>
      </w:r>
    </w:p>
    <w:p w14:paraId="24391839" w14:textId="6C277B3C" w:rsidR="004727F5" w:rsidRDefault="00F57E2A" w:rsidP="00FB1207">
      <w:pPr>
        <w:widowControl w:val="0"/>
        <w:autoSpaceDE w:val="0"/>
        <w:autoSpaceDN w:val="0"/>
        <w:adjustRightInd w:val="0"/>
        <w:spacing w:after="0"/>
        <w:rPr>
          <w:rFonts w:ascii="Times New Roman" w:hAnsi="Times New Roman"/>
        </w:rPr>
      </w:pPr>
      <w:r>
        <w:rPr>
          <w:noProof/>
        </w:rPr>
        <w:drawing>
          <wp:inline distT="0" distB="0" distL="0" distR="0" wp14:anchorId="41AFAE6C" wp14:editId="0550350B">
            <wp:extent cx="3594735" cy="2174240"/>
            <wp:effectExtent l="0" t="0" r="37465" b="355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D6300E6" w14:textId="77777777" w:rsidR="004727F5" w:rsidRDefault="004727F5" w:rsidP="00FB1207">
      <w:pPr>
        <w:widowControl w:val="0"/>
        <w:autoSpaceDE w:val="0"/>
        <w:autoSpaceDN w:val="0"/>
        <w:adjustRightInd w:val="0"/>
        <w:spacing w:after="0"/>
        <w:rPr>
          <w:rFonts w:ascii="Times New Roman" w:hAnsi="Times New Roman"/>
        </w:rPr>
      </w:pPr>
    </w:p>
    <w:p w14:paraId="558110B3" w14:textId="7BF9A476" w:rsidR="004727F5" w:rsidRDefault="00F57E2A" w:rsidP="00140D70">
      <w:pPr>
        <w:rPr>
          <w:rFonts w:ascii="Times New Roman" w:hAnsi="Times New Roman"/>
        </w:rPr>
      </w:pPr>
      <w:r>
        <w:rPr>
          <w:rFonts w:ascii="Times New Roman" w:hAnsi="Times New Roman"/>
        </w:rPr>
        <w:t>Figure 18. The Comparison of Level 5 and Level 6 Students’ RV grades</w:t>
      </w:r>
      <w:r w:rsidRPr="009C4A98">
        <w:rPr>
          <w:rFonts w:ascii="Times New Roman" w:hAnsi="Times New Roman"/>
        </w:rPr>
        <w:t xml:space="preserve"> </w:t>
      </w:r>
      <w:r>
        <w:rPr>
          <w:rFonts w:ascii="Times New Roman" w:hAnsi="Times New Roman"/>
        </w:rPr>
        <w:t>and English 101</w:t>
      </w:r>
    </w:p>
    <w:p w14:paraId="0ABDE9C0" w14:textId="66B1C9B2" w:rsidR="00F25763" w:rsidRDefault="00F57E2A" w:rsidP="00FB1207">
      <w:pPr>
        <w:widowControl w:val="0"/>
        <w:autoSpaceDE w:val="0"/>
        <w:autoSpaceDN w:val="0"/>
        <w:adjustRightInd w:val="0"/>
        <w:spacing w:after="0"/>
        <w:rPr>
          <w:rFonts w:ascii="Times New Roman" w:hAnsi="Times New Roman"/>
        </w:rPr>
      </w:pPr>
      <w:r>
        <w:rPr>
          <w:noProof/>
        </w:rPr>
        <w:drawing>
          <wp:inline distT="0" distB="0" distL="0" distR="0" wp14:anchorId="4D93AEF2" wp14:editId="3978A8C5">
            <wp:extent cx="3594735" cy="2044700"/>
            <wp:effectExtent l="0" t="0" r="3746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E3AECA6" w14:textId="77777777" w:rsidR="00F57E2A" w:rsidRDefault="00F57E2A" w:rsidP="00F57E2A">
      <w:pPr>
        <w:rPr>
          <w:rFonts w:ascii="Times New Roman" w:hAnsi="Times New Roman"/>
        </w:rPr>
      </w:pPr>
    </w:p>
    <w:p w14:paraId="6106762D" w14:textId="16E0BCB7" w:rsidR="00F57E2A" w:rsidRDefault="00F57E2A" w:rsidP="00A343C7">
      <w:pPr>
        <w:rPr>
          <w:rFonts w:ascii="Times New Roman" w:hAnsi="Times New Roman"/>
        </w:rPr>
      </w:pPr>
      <w:r>
        <w:rPr>
          <w:rFonts w:ascii="Times New Roman" w:hAnsi="Times New Roman"/>
        </w:rPr>
        <w:t>Figure 18. The Comparison of Level 5 and Level 6 Students’ SL grades</w:t>
      </w:r>
      <w:r w:rsidRPr="009C4A98">
        <w:rPr>
          <w:rFonts w:ascii="Times New Roman" w:hAnsi="Times New Roman"/>
        </w:rPr>
        <w:t xml:space="preserve"> </w:t>
      </w:r>
      <w:r>
        <w:rPr>
          <w:rFonts w:ascii="Times New Roman" w:hAnsi="Times New Roman"/>
        </w:rPr>
        <w:t>and English 102</w:t>
      </w:r>
    </w:p>
    <w:p w14:paraId="4FF080E7" w14:textId="1A91F5B4" w:rsidR="00F57E2A" w:rsidRDefault="00F57E2A" w:rsidP="00FB1207">
      <w:pPr>
        <w:widowControl w:val="0"/>
        <w:autoSpaceDE w:val="0"/>
        <w:autoSpaceDN w:val="0"/>
        <w:adjustRightInd w:val="0"/>
        <w:spacing w:after="0"/>
        <w:rPr>
          <w:rFonts w:ascii="Times New Roman" w:hAnsi="Times New Roman"/>
        </w:rPr>
      </w:pPr>
      <w:r>
        <w:rPr>
          <w:noProof/>
        </w:rPr>
        <w:drawing>
          <wp:inline distT="0" distB="0" distL="0" distR="0" wp14:anchorId="6C8BC218" wp14:editId="738D7769">
            <wp:extent cx="3594735" cy="1897380"/>
            <wp:effectExtent l="0" t="0" r="37465" b="330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F57E2A" w:rsidSect="007650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6C244" w14:textId="77777777" w:rsidR="007E5FE0" w:rsidRDefault="007E5FE0">
      <w:pPr>
        <w:spacing w:after="0"/>
      </w:pPr>
      <w:r>
        <w:separator/>
      </w:r>
    </w:p>
  </w:endnote>
  <w:endnote w:type="continuationSeparator" w:id="0">
    <w:p w14:paraId="624E38B0" w14:textId="77777777" w:rsidR="007E5FE0" w:rsidRDefault="007E5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바탕">
    <w:charset w:val="4F"/>
    <w:family w:val="auto"/>
    <w:pitch w:val="variable"/>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127D9" w14:textId="77777777" w:rsidR="007E5FE0" w:rsidRDefault="007E5FE0">
      <w:pPr>
        <w:spacing w:after="0"/>
      </w:pPr>
      <w:r>
        <w:separator/>
      </w:r>
    </w:p>
  </w:footnote>
  <w:footnote w:type="continuationSeparator" w:id="0">
    <w:p w14:paraId="66448EEE" w14:textId="77777777" w:rsidR="007E5FE0" w:rsidRDefault="007E5FE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25943"/>
    <w:multiLevelType w:val="hybridMultilevel"/>
    <w:tmpl w:val="A36E5F82"/>
    <w:lvl w:ilvl="0" w:tplc="2CE80B8E">
      <w:start w:val="1"/>
      <w:numFmt w:val="lowerRoman"/>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AC"/>
    <w:rsid w:val="00002A79"/>
    <w:rsid w:val="000122A1"/>
    <w:rsid w:val="00023ACD"/>
    <w:rsid w:val="00036E08"/>
    <w:rsid w:val="00052D2D"/>
    <w:rsid w:val="00061E7B"/>
    <w:rsid w:val="00070166"/>
    <w:rsid w:val="000749DA"/>
    <w:rsid w:val="00074EC1"/>
    <w:rsid w:val="00084D8A"/>
    <w:rsid w:val="0008623B"/>
    <w:rsid w:val="000B5B22"/>
    <w:rsid w:val="000E7DAC"/>
    <w:rsid w:val="000F44C4"/>
    <w:rsid w:val="000F67AF"/>
    <w:rsid w:val="00104BDC"/>
    <w:rsid w:val="0013087C"/>
    <w:rsid w:val="00140D70"/>
    <w:rsid w:val="0014182F"/>
    <w:rsid w:val="00143128"/>
    <w:rsid w:val="0014707E"/>
    <w:rsid w:val="00150A20"/>
    <w:rsid w:val="00150E18"/>
    <w:rsid w:val="00153095"/>
    <w:rsid w:val="00161AC4"/>
    <w:rsid w:val="00163F15"/>
    <w:rsid w:val="00165C97"/>
    <w:rsid w:val="001707F0"/>
    <w:rsid w:val="001839ED"/>
    <w:rsid w:val="001A192E"/>
    <w:rsid w:val="001A5DBE"/>
    <w:rsid w:val="001B050C"/>
    <w:rsid w:val="001B7096"/>
    <w:rsid w:val="001C07B7"/>
    <w:rsid w:val="001D63E9"/>
    <w:rsid w:val="00205B86"/>
    <w:rsid w:val="00206682"/>
    <w:rsid w:val="00224AE8"/>
    <w:rsid w:val="00235C44"/>
    <w:rsid w:val="002401D1"/>
    <w:rsid w:val="0024076F"/>
    <w:rsid w:val="00273DB6"/>
    <w:rsid w:val="002815F3"/>
    <w:rsid w:val="002817F6"/>
    <w:rsid w:val="002A4D8A"/>
    <w:rsid w:val="002A7BDE"/>
    <w:rsid w:val="002B0710"/>
    <w:rsid w:val="002B1E0B"/>
    <w:rsid w:val="002D7BC4"/>
    <w:rsid w:val="002E1C75"/>
    <w:rsid w:val="002F175C"/>
    <w:rsid w:val="002F50E1"/>
    <w:rsid w:val="00304F84"/>
    <w:rsid w:val="00311370"/>
    <w:rsid w:val="003134F9"/>
    <w:rsid w:val="00320D09"/>
    <w:rsid w:val="00322AFF"/>
    <w:rsid w:val="00330D0E"/>
    <w:rsid w:val="0035787E"/>
    <w:rsid w:val="003829C3"/>
    <w:rsid w:val="003937F0"/>
    <w:rsid w:val="003A28C7"/>
    <w:rsid w:val="003B3B38"/>
    <w:rsid w:val="003C54C2"/>
    <w:rsid w:val="003D32D0"/>
    <w:rsid w:val="003E4541"/>
    <w:rsid w:val="003F7643"/>
    <w:rsid w:val="00400214"/>
    <w:rsid w:val="00401CA6"/>
    <w:rsid w:val="00415D9F"/>
    <w:rsid w:val="00417593"/>
    <w:rsid w:val="00421A09"/>
    <w:rsid w:val="00422F71"/>
    <w:rsid w:val="00424815"/>
    <w:rsid w:val="00433D13"/>
    <w:rsid w:val="0045593F"/>
    <w:rsid w:val="00470568"/>
    <w:rsid w:val="004727F5"/>
    <w:rsid w:val="0048777D"/>
    <w:rsid w:val="0049363C"/>
    <w:rsid w:val="004A7A54"/>
    <w:rsid w:val="004A7D7E"/>
    <w:rsid w:val="004B4180"/>
    <w:rsid w:val="004B5FAC"/>
    <w:rsid w:val="004C00BF"/>
    <w:rsid w:val="004D4F73"/>
    <w:rsid w:val="004E4887"/>
    <w:rsid w:val="004E71A5"/>
    <w:rsid w:val="004F5B7A"/>
    <w:rsid w:val="0051206A"/>
    <w:rsid w:val="00513AC5"/>
    <w:rsid w:val="00520C80"/>
    <w:rsid w:val="005224DB"/>
    <w:rsid w:val="00531BE0"/>
    <w:rsid w:val="00537B6E"/>
    <w:rsid w:val="005444E2"/>
    <w:rsid w:val="0054564B"/>
    <w:rsid w:val="005565C8"/>
    <w:rsid w:val="00565FBA"/>
    <w:rsid w:val="00575D7C"/>
    <w:rsid w:val="005A4CC0"/>
    <w:rsid w:val="005B2C22"/>
    <w:rsid w:val="005C7BF7"/>
    <w:rsid w:val="005E5392"/>
    <w:rsid w:val="005F7DFF"/>
    <w:rsid w:val="00603A80"/>
    <w:rsid w:val="006540D6"/>
    <w:rsid w:val="00656495"/>
    <w:rsid w:val="00660EBC"/>
    <w:rsid w:val="00663695"/>
    <w:rsid w:val="006875CB"/>
    <w:rsid w:val="00693248"/>
    <w:rsid w:val="0069559E"/>
    <w:rsid w:val="00697642"/>
    <w:rsid w:val="006A68BB"/>
    <w:rsid w:val="006C5B08"/>
    <w:rsid w:val="006D2E2E"/>
    <w:rsid w:val="006D5EF7"/>
    <w:rsid w:val="006E0458"/>
    <w:rsid w:val="006E3202"/>
    <w:rsid w:val="006E37AF"/>
    <w:rsid w:val="00700881"/>
    <w:rsid w:val="007147F4"/>
    <w:rsid w:val="007230D1"/>
    <w:rsid w:val="00753552"/>
    <w:rsid w:val="00753DD4"/>
    <w:rsid w:val="00755820"/>
    <w:rsid w:val="007559D1"/>
    <w:rsid w:val="00765035"/>
    <w:rsid w:val="007702AE"/>
    <w:rsid w:val="007951F9"/>
    <w:rsid w:val="00796F81"/>
    <w:rsid w:val="007A17A4"/>
    <w:rsid w:val="007B56D9"/>
    <w:rsid w:val="007C05E6"/>
    <w:rsid w:val="007C4942"/>
    <w:rsid w:val="007D49CB"/>
    <w:rsid w:val="007E09A4"/>
    <w:rsid w:val="007E5FE0"/>
    <w:rsid w:val="007F1F95"/>
    <w:rsid w:val="00811124"/>
    <w:rsid w:val="008117AA"/>
    <w:rsid w:val="00825702"/>
    <w:rsid w:val="0083546D"/>
    <w:rsid w:val="008550BE"/>
    <w:rsid w:val="00881C4D"/>
    <w:rsid w:val="0089298B"/>
    <w:rsid w:val="008A2583"/>
    <w:rsid w:val="008A3415"/>
    <w:rsid w:val="008A4FF4"/>
    <w:rsid w:val="008B1197"/>
    <w:rsid w:val="008D6B04"/>
    <w:rsid w:val="008E0A0F"/>
    <w:rsid w:val="00922989"/>
    <w:rsid w:val="00954154"/>
    <w:rsid w:val="00954C77"/>
    <w:rsid w:val="009570F0"/>
    <w:rsid w:val="009604C1"/>
    <w:rsid w:val="00972D5C"/>
    <w:rsid w:val="00976D28"/>
    <w:rsid w:val="00997165"/>
    <w:rsid w:val="009A7C04"/>
    <w:rsid w:val="009B7D78"/>
    <w:rsid w:val="009C0771"/>
    <w:rsid w:val="009C4A98"/>
    <w:rsid w:val="009E4932"/>
    <w:rsid w:val="009E736C"/>
    <w:rsid w:val="00A026FC"/>
    <w:rsid w:val="00A03D82"/>
    <w:rsid w:val="00A343C7"/>
    <w:rsid w:val="00A44307"/>
    <w:rsid w:val="00A6105D"/>
    <w:rsid w:val="00A707C4"/>
    <w:rsid w:val="00AA71B9"/>
    <w:rsid w:val="00AD2746"/>
    <w:rsid w:val="00AD28A8"/>
    <w:rsid w:val="00AD7F05"/>
    <w:rsid w:val="00AE3B34"/>
    <w:rsid w:val="00AE6D9A"/>
    <w:rsid w:val="00AF70ED"/>
    <w:rsid w:val="00B01B97"/>
    <w:rsid w:val="00B05CF2"/>
    <w:rsid w:val="00B2786A"/>
    <w:rsid w:val="00B42357"/>
    <w:rsid w:val="00B62C18"/>
    <w:rsid w:val="00B653B7"/>
    <w:rsid w:val="00B74A3E"/>
    <w:rsid w:val="00B750C7"/>
    <w:rsid w:val="00B807A7"/>
    <w:rsid w:val="00B85E27"/>
    <w:rsid w:val="00B87530"/>
    <w:rsid w:val="00BC5187"/>
    <w:rsid w:val="00BD442D"/>
    <w:rsid w:val="00BE154C"/>
    <w:rsid w:val="00BE1708"/>
    <w:rsid w:val="00BE31BB"/>
    <w:rsid w:val="00C004F9"/>
    <w:rsid w:val="00C0322D"/>
    <w:rsid w:val="00C1114A"/>
    <w:rsid w:val="00C2357E"/>
    <w:rsid w:val="00C24DD3"/>
    <w:rsid w:val="00C37FED"/>
    <w:rsid w:val="00C75CA8"/>
    <w:rsid w:val="00C97598"/>
    <w:rsid w:val="00CA0289"/>
    <w:rsid w:val="00CB4072"/>
    <w:rsid w:val="00CC0F7E"/>
    <w:rsid w:val="00CC4F17"/>
    <w:rsid w:val="00CF7387"/>
    <w:rsid w:val="00D032D0"/>
    <w:rsid w:val="00D11866"/>
    <w:rsid w:val="00D14264"/>
    <w:rsid w:val="00D1711B"/>
    <w:rsid w:val="00D2234C"/>
    <w:rsid w:val="00D30052"/>
    <w:rsid w:val="00D36C37"/>
    <w:rsid w:val="00D37235"/>
    <w:rsid w:val="00D57D07"/>
    <w:rsid w:val="00D7793F"/>
    <w:rsid w:val="00D840B9"/>
    <w:rsid w:val="00DA257D"/>
    <w:rsid w:val="00DB4EF4"/>
    <w:rsid w:val="00DB72F8"/>
    <w:rsid w:val="00DD7A64"/>
    <w:rsid w:val="00DF4049"/>
    <w:rsid w:val="00DF4BDD"/>
    <w:rsid w:val="00E01CB3"/>
    <w:rsid w:val="00E01FDC"/>
    <w:rsid w:val="00E05D7D"/>
    <w:rsid w:val="00E107A7"/>
    <w:rsid w:val="00E27491"/>
    <w:rsid w:val="00E45FB0"/>
    <w:rsid w:val="00E460C6"/>
    <w:rsid w:val="00E52484"/>
    <w:rsid w:val="00E55282"/>
    <w:rsid w:val="00E6370B"/>
    <w:rsid w:val="00E72A11"/>
    <w:rsid w:val="00E748B9"/>
    <w:rsid w:val="00E9243D"/>
    <w:rsid w:val="00E925F0"/>
    <w:rsid w:val="00EC3A2A"/>
    <w:rsid w:val="00EE1599"/>
    <w:rsid w:val="00EE2970"/>
    <w:rsid w:val="00EE3F2D"/>
    <w:rsid w:val="00F075DB"/>
    <w:rsid w:val="00F25763"/>
    <w:rsid w:val="00F32D20"/>
    <w:rsid w:val="00F33E9E"/>
    <w:rsid w:val="00F3585E"/>
    <w:rsid w:val="00F57E2A"/>
    <w:rsid w:val="00F62382"/>
    <w:rsid w:val="00F70C06"/>
    <w:rsid w:val="00F74B68"/>
    <w:rsid w:val="00F7748B"/>
    <w:rsid w:val="00FA31B6"/>
    <w:rsid w:val="00FA37B8"/>
    <w:rsid w:val="00FB1207"/>
    <w:rsid w:val="00FB2C88"/>
    <w:rsid w:val="00FC32AE"/>
    <w:rsid w:val="00FC51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C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27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E3202"/>
    <w:pPr>
      <w:ind w:left="720"/>
      <w:contextualSpacing/>
    </w:pPr>
  </w:style>
  <w:style w:type="paragraph" w:styleId="FootnoteText">
    <w:name w:val="footnote text"/>
    <w:basedOn w:val="Normal"/>
    <w:link w:val="FootnoteTextChar"/>
    <w:rsid w:val="00074EC1"/>
    <w:pPr>
      <w:spacing w:after="0"/>
    </w:pPr>
  </w:style>
  <w:style w:type="character" w:customStyle="1" w:styleId="FootnoteTextChar">
    <w:name w:val="Footnote Text Char"/>
    <w:basedOn w:val="DefaultParagraphFont"/>
    <w:link w:val="FootnoteText"/>
    <w:rsid w:val="00074EC1"/>
  </w:style>
  <w:style w:type="character" w:styleId="FootnoteReference">
    <w:name w:val="footnote reference"/>
    <w:basedOn w:val="DefaultParagraphFont"/>
    <w:rsid w:val="00074EC1"/>
    <w:rPr>
      <w:vertAlign w:val="superscript"/>
    </w:rPr>
  </w:style>
  <w:style w:type="paragraph" w:styleId="BalloonText">
    <w:name w:val="Balloon Text"/>
    <w:basedOn w:val="Normal"/>
    <w:link w:val="BalloonTextChar"/>
    <w:rsid w:val="00B750C7"/>
    <w:pPr>
      <w:spacing w:after="0"/>
    </w:pPr>
    <w:rPr>
      <w:rFonts w:ascii="Lucida Grande" w:hAnsi="Lucida Grande"/>
      <w:sz w:val="18"/>
      <w:szCs w:val="18"/>
    </w:rPr>
  </w:style>
  <w:style w:type="character" w:customStyle="1" w:styleId="BalloonTextChar">
    <w:name w:val="Balloon Text Char"/>
    <w:basedOn w:val="DefaultParagraphFont"/>
    <w:link w:val="BalloonText"/>
    <w:rsid w:val="00B750C7"/>
    <w:rPr>
      <w:rFonts w:ascii="Lucida Grande" w:hAnsi="Lucida Grande"/>
      <w:sz w:val="18"/>
      <w:szCs w:val="18"/>
    </w:rPr>
  </w:style>
  <w:style w:type="table" w:styleId="TableGrid">
    <w:name w:val="Table Grid"/>
    <w:basedOn w:val="TableNormal"/>
    <w:rsid w:val="002F17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7A6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27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E3202"/>
    <w:pPr>
      <w:ind w:left="720"/>
      <w:contextualSpacing/>
    </w:pPr>
  </w:style>
  <w:style w:type="paragraph" w:styleId="FootnoteText">
    <w:name w:val="footnote text"/>
    <w:basedOn w:val="Normal"/>
    <w:link w:val="FootnoteTextChar"/>
    <w:rsid w:val="00074EC1"/>
    <w:pPr>
      <w:spacing w:after="0"/>
    </w:pPr>
  </w:style>
  <w:style w:type="character" w:customStyle="1" w:styleId="FootnoteTextChar">
    <w:name w:val="Footnote Text Char"/>
    <w:basedOn w:val="DefaultParagraphFont"/>
    <w:link w:val="FootnoteText"/>
    <w:rsid w:val="00074EC1"/>
  </w:style>
  <w:style w:type="character" w:styleId="FootnoteReference">
    <w:name w:val="footnote reference"/>
    <w:basedOn w:val="DefaultParagraphFont"/>
    <w:rsid w:val="00074EC1"/>
    <w:rPr>
      <w:vertAlign w:val="superscript"/>
    </w:rPr>
  </w:style>
  <w:style w:type="paragraph" w:styleId="BalloonText">
    <w:name w:val="Balloon Text"/>
    <w:basedOn w:val="Normal"/>
    <w:link w:val="BalloonTextChar"/>
    <w:rsid w:val="00B750C7"/>
    <w:pPr>
      <w:spacing w:after="0"/>
    </w:pPr>
    <w:rPr>
      <w:rFonts w:ascii="Lucida Grande" w:hAnsi="Lucida Grande"/>
      <w:sz w:val="18"/>
      <w:szCs w:val="18"/>
    </w:rPr>
  </w:style>
  <w:style w:type="character" w:customStyle="1" w:styleId="BalloonTextChar">
    <w:name w:val="Balloon Text Char"/>
    <w:basedOn w:val="DefaultParagraphFont"/>
    <w:link w:val="BalloonText"/>
    <w:rsid w:val="00B750C7"/>
    <w:rPr>
      <w:rFonts w:ascii="Lucida Grande" w:hAnsi="Lucida Grande"/>
      <w:sz w:val="18"/>
      <w:szCs w:val="18"/>
    </w:rPr>
  </w:style>
  <w:style w:type="table" w:styleId="TableGrid">
    <w:name w:val="Table Grid"/>
    <w:basedOn w:val="TableNormal"/>
    <w:rsid w:val="002F17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7A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162">
      <w:bodyDiv w:val="1"/>
      <w:marLeft w:val="0"/>
      <w:marRight w:val="0"/>
      <w:marTop w:val="0"/>
      <w:marBottom w:val="0"/>
      <w:divBdr>
        <w:top w:val="none" w:sz="0" w:space="0" w:color="auto"/>
        <w:left w:val="none" w:sz="0" w:space="0" w:color="auto"/>
        <w:bottom w:val="none" w:sz="0" w:space="0" w:color="auto"/>
        <w:right w:val="none" w:sz="0" w:space="0" w:color="auto"/>
      </w:divBdr>
    </w:div>
    <w:div w:id="86997660">
      <w:bodyDiv w:val="1"/>
      <w:marLeft w:val="0"/>
      <w:marRight w:val="0"/>
      <w:marTop w:val="0"/>
      <w:marBottom w:val="0"/>
      <w:divBdr>
        <w:top w:val="none" w:sz="0" w:space="0" w:color="auto"/>
        <w:left w:val="none" w:sz="0" w:space="0" w:color="auto"/>
        <w:bottom w:val="none" w:sz="0" w:space="0" w:color="auto"/>
        <w:right w:val="none" w:sz="0" w:space="0" w:color="auto"/>
      </w:divBdr>
    </w:div>
    <w:div w:id="123697690">
      <w:bodyDiv w:val="1"/>
      <w:marLeft w:val="0"/>
      <w:marRight w:val="0"/>
      <w:marTop w:val="0"/>
      <w:marBottom w:val="0"/>
      <w:divBdr>
        <w:top w:val="none" w:sz="0" w:space="0" w:color="auto"/>
        <w:left w:val="none" w:sz="0" w:space="0" w:color="auto"/>
        <w:bottom w:val="none" w:sz="0" w:space="0" w:color="auto"/>
        <w:right w:val="none" w:sz="0" w:space="0" w:color="auto"/>
      </w:divBdr>
    </w:div>
    <w:div w:id="146168773">
      <w:bodyDiv w:val="1"/>
      <w:marLeft w:val="0"/>
      <w:marRight w:val="0"/>
      <w:marTop w:val="0"/>
      <w:marBottom w:val="0"/>
      <w:divBdr>
        <w:top w:val="none" w:sz="0" w:space="0" w:color="auto"/>
        <w:left w:val="none" w:sz="0" w:space="0" w:color="auto"/>
        <w:bottom w:val="none" w:sz="0" w:space="0" w:color="auto"/>
        <w:right w:val="none" w:sz="0" w:space="0" w:color="auto"/>
      </w:divBdr>
    </w:div>
    <w:div w:id="254365100">
      <w:bodyDiv w:val="1"/>
      <w:marLeft w:val="0"/>
      <w:marRight w:val="0"/>
      <w:marTop w:val="0"/>
      <w:marBottom w:val="0"/>
      <w:divBdr>
        <w:top w:val="none" w:sz="0" w:space="0" w:color="auto"/>
        <w:left w:val="none" w:sz="0" w:space="0" w:color="auto"/>
        <w:bottom w:val="none" w:sz="0" w:space="0" w:color="auto"/>
        <w:right w:val="none" w:sz="0" w:space="0" w:color="auto"/>
      </w:divBdr>
    </w:div>
    <w:div w:id="278227280">
      <w:bodyDiv w:val="1"/>
      <w:marLeft w:val="0"/>
      <w:marRight w:val="0"/>
      <w:marTop w:val="0"/>
      <w:marBottom w:val="0"/>
      <w:divBdr>
        <w:top w:val="none" w:sz="0" w:space="0" w:color="auto"/>
        <w:left w:val="none" w:sz="0" w:space="0" w:color="auto"/>
        <w:bottom w:val="none" w:sz="0" w:space="0" w:color="auto"/>
        <w:right w:val="none" w:sz="0" w:space="0" w:color="auto"/>
      </w:divBdr>
    </w:div>
    <w:div w:id="365329001">
      <w:bodyDiv w:val="1"/>
      <w:marLeft w:val="0"/>
      <w:marRight w:val="0"/>
      <w:marTop w:val="0"/>
      <w:marBottom w:val="0"/>
      <w:divBdr>
        <w:top w:val="none" w:sz="0" w:space="0" w:color="auto"/>
        <w:left w:val="none" w:sz="0" w:space="0" w:color="auto"/>
        <w:bottom w:val="none" w:sz="0" w:space="0" w:color="auto"/>
        <w:right w:val="none" w:sz="0" w:space="0" w:color="auto"/>
      </w:divBdr>
    </w:div>
    <w:div w:id="388699139">
      <w:bodyDiv w:val="1"/>
      <w:marLeft w:val="0"/>
      <w:marRight w:val="0"/>
      <w:marTop w:val="0"/>
      <w:marBottom w:val="0"/>
      <w:divBdr>
        <w:top w:val="none" w:sz="0" w:space="0" w:color="auto"/>
        <w:left w:val="none" w:sz="0" w:space="0" w:color="auto"/>
        <w:bottom w:val="none" w:sz="0" w:space="0" w:color="auto"/>
        <w:right w:val="none" w:sz="0" w:space="0" w:color="auto"/>
      </w:divBdr>
    </w:div>
    <w:div w:id="393239524">
      <w:bodyDiv w:val="1"/>
      <w:marLeft w:val="0"/>
      <w:marRight w:val="0"/>
      <w:marTop w:val="0"/>
      <w:marBottom w:val="0"/>
      <w:divBdr>
        <w:top w:val="none" w:sz="0" w:space="0" w:color="auto"/>
        <w:left w:val="none" w:sz="0" w:space="0" w:color="auto"/>
        <w:bottom w:val="none" w:sz="0" w:space="0" w:color="auto"/>
        <w:right w:val="none" w:sz="0" w:space="0" w:color="auto"/>
      </w:divBdr>
    </w:div>
    <w:div w:id="419179495">
      <w:bodyDiv w:val="1"/>
      <w:marLeft w:val="0"/>
      <w:marRight w:val="0"/>
      <w:marTop w:val="0"/>
      <w:marBottom w:val="0"/>
      <w:divBdr>
        <w:top w:val="none" w:sz="0" w:space="0" w:color="auto"/>
        <w:left w:val="none" w:sz="0" w:space="0" w:color="auto"/>
        <w:bottom w:val="none" w:sz="0" w:space="0" w:color="auto"/>
        <w:right w:val="none" w:sz="0" w:space="0" w:color="auto"/>
      </w:divBdr>
    </w:div>
    <w:div w:id="430779677">
      <w:bodyDiv w:val="1"/>
      <w:marLeft w:val="0"/>
      <w:marRight w:val="0"/>
      <w:marTop w:val="0"/>
      <w:marBottom w:val="0"/>
      <w:divBdr>
        <w:top w:val="none" w:sz="0" w:space="0" w:color="auto"/>
        <w:left w:val="none" w:sz="0" w:space="0" w:color="auto"/>
        <w:bottom w:val="none" w:sz="0" w:space="0" w:color="auto"/>
        <w:right w:val="none" w:sz="0" w:space="0" w:color="auto"/>
      </w:divBdr>
    </w:div>
    <w:div w:id="442960946">
      <w:bodyDiv w:val="1"/>
      <w:marLeft w:val="0"/>
      <w:marRight w:val="0"/>
      <w:marTop w:val="0"/>
      <w:marBottom w:val="0"/>
      <w:divBdr>
        <w:top w:val="none" w:sz="0" w:space="0" w:color="auto"/>
        <w:left w:val="none" w:sz="0" w:space="0" w:color="auto"/>
        <w:bottom w:val="none" w:sz="0" w:space="0" w:color="auto"/>
        <w:right w:val="none" w:sz="0" w:space="0" w:color="auto"/>
      </w:divBdr>
    </w:div>
    <w:div w:id="454982640">
      <w:bodyDiv w:val="1"/>
      <w:marLeft w:val="0"/>
      <w:marRight w:val="0"/>
      <w:marTop w:val="0"/>
      <w:marBottom w:val="0"/>
      <w:divBdr>
        <w:top w:val="none" w:sz="0" w:space="0" w:color="auto"/>
        <w:left w:val="none" w:sz="0" w:space="0" w:color="auto"/>
        <w:bottom w:val="none" w:sz="0" w:space="0" w:color="auto"/>
        <w:right w:val="none" w:sz="0" w:space="0" w:color="auto"/>
      </w:divBdr>
    </w:div>
    <w:div w:id="498624017">
      <w:bodyDiv w:val="1"/>
      <w:marLeft w:val="0"/>
      <w:marRight w:val="0"/>
      <w:marTop w:val="0"/>
      <w:marBottom w:val="0"/>
      <w:divBdr>
        <w:top w:val="none" w:sz="0" w:space="0" w:color="auto"/>
        <w:left w:val="none" w:sz="0" w:space="0" w:color="auto"/>
        <w:bottom w:val="none" w:sz="0" w:space="0" w:color="auto"/>
        <w:right w:val="none" w:sz="0" w:space="0" w:color="auto"/>
      </w:divBdr>
    </w:div>
    <w:div w:id="516889416">
      <w:bodyDiv w:val="1"/>
      <w:marLeft w:val="0"/>
      <w:marRight w:val="0"/>
      <w:marTop w:val="0"/>
      <w:marBottom w:val="0"/>
      <w:divBdr>
        <w:top w:val="none" w:sz="0" w:space="0" w:color="auto"/>
        <w:left w:val="none" w:sz="0" w:space="0" w:color="auto"/>
        <w:bottom w:val="none" w:sz="0" w:space="0" w:color="auto"/>
        <w:right w:val="none" w:sz="0" w:space="0" w:color="auto"/>
      </w:divBdr>
    </w:div>
    <w:div w:id="594898372">
      <w:bodyDiv w:val="1"/>
      <w:marLeft w:val="0"/>
      <w:marRight w:val="0"/>
      <w:marTop w:val="0"/>
      <w:marBottom w:val="0"/>
      <w:divBdr>
        <w:top w:val="none" w:sz="0" w:space="0" w:color="auto"/>
        <w:left w:val="none" w:sz="0" w:space="0" w:color="auto"/>
        <w:bottom w:val="none" w:sz="0" w:space="0" w:color="auto"/>
        <w:right w:val="none" w:sz="0" w:space="0" w:color="auto"/>
      </w:divBdr>
    </w:div>
    <w:div w:id="718357659">
      <w:bodyDiv w:val="1"/>
      <w:marLeft w:val="0"/>
      <w:marRight w:val="0"/>
      <w:marTop w:val="0"/>
      <w:marBottom w:val="0"/>
      <w:divBdr>
        <w:top w:val="none" w:sz="0" w:space="0" w:color="auto"/>
        <w:left w:val="none" w:sz="0" w:space="0" w:color="auto"/>
        <w:bottom w:val="none" w:sz="0" w:space="0" w:color="auto"/>
        <w:right w:val="none" w:sz="0" w:space="0" w:color="auto"/>
      </w:divBdr>
    </w:div>
    <w:div w:id="719868700">
      <w:bodyDiv w:val="1"/>
      <w:marLeft w:val="0"/>
      <w:marRight w:val="0"/>
      <w:marTop w:val="0"/>
      <w:marBottom w:val="0"/>
      <w:divBdr>
        <w:top w:val="none" w:sz="0" w:space="0" w:color="auto"/>
        <w:left w:val="none" w:sz="0" w:space="0" w:color="auto"/>
        <w:bottom w:val="none" w:sz="0" w:space="0" w:color="auto"/>
        <w:right w:val="none" w:sz="0" w:space="0" w:color="auto"/>
      </w:divBdr>
    </w:div>
    <w:div w:id="723867920">
      <w:bodyDiv w:val="1"/>
      <w:marLeft w:val="0"/>
      <w:marRight w:val="0"/>
      <w:marTop w:val="0"/>
      <w:marBottom w:val="0"/>
      <w:divBdr>
        <w:top w:val="none" w:sz="0" w:space="0" w:color="auto"/>
        <w:left w:val="none" w:sz="0" w:space="0" w:color="auto"/>
        <w:bottom w:val="none" w:sz="0" w:space="0" w:color="auto"/>
        <w:right w:val="none" w:sz="0" w:space="0" w:color="auto"/>
      </w:divBdr>
    </w:div>
    <w:div w:id="762342254">
      <w:bodyDiv w:val="1"/>
      <w:marLeft w:val="0"/>
      <w:marRight w:val="0"/>
      <w:marTop w:val="0"/>
      <w:marBottom w:val="0"/>
      <w:divBdr>
        <w:top w:val="none" w:sz="0" w:space="0" w:color="auto"/>
        <w:left w:val="none" w:sz="0" w:space="0" w:color="auto"/>
        <w:bottom w:val="none" w:sz="0" w:space="0" w:color="auto"/>
        <w:right w:val="none" w:sz="0" w:space="0" w:color="auto"/>
      </w:divBdr>
    </w:div>
    <w:div w:id="777138156">
      <w:bodyDiv w:val="1"/>
      <w:marLeft w:val="0"/>
      <w:marRight w:val="0"/>
      <w:marTop w:val="0"/>
      <w:marBottom w:val="0"/>
      <w:divBdr>
        <w:top w:val="none" w:sz="0" w:space="0" w:color="auto"/>
        <w:left w:val="none" w:sz="0" w:space="0" w:color="auto"/>
        <w:bottom w:val="none" w:sz="0" w:space="0" w:color="auto"/>
        <w:right w:val="none" w:sz="0" w:space="0" w:color="auto"/>
      </w:divBdr>
    </w:div>
    <w:div w:id="985278390">
      <w:bodyDiv w:val="1"/>
      <w:marLeft w:val="0"/>
      <w:marRight w:val="0"/>
      <w:marTop w:val="0"/>
      <w:marBottom w:val="0"/>
      <w:divBdr>
        <w:top w:val="none" w:sz="0" w:space="0" w:color="auto"/>
        <w:left w:val="none" w:sz="0" w:space="0" w:color="auto"/>
        <w:bottom w:val="none" w:sz="0" w:space="0" w:color="auto"/>
        <w:right w:val="none" w:sz="0" w:space="0" w:color="auto"/>
      </w:divBdr>
    </w:div>
    <w:div w:id="993754929">
      <w:bodyDiv w:val="1"/>
      <w:marLeft w:val="0"/>
      <w:marRight w:val="0"/>
      <w:marTop w:val="0"/>
      <w:marBottom w:val="0"/>
      <w:divBdr>
        <w:top w:val="none" w:sz="0" w:space="0" w:color="auto"/>
        <w:left w:val="none" w:sz="0" w:space="0" w:color="auto"/>
        <w:bottom w:val="none" w:sz="0" w:space="0" w:color="auto"/>
        <w:right w:val="none" w:sz="0" w:space="0" w:color="auto"/>
      </w:divBdr>
    </w:div>
    <w:div w:id="1051612331">
      <w:bodyDiv w:val="1"/>
      <w:marLeft w:val="0"/>
      <w:marRight w:val="0"/>
      <w:marTop w:val="0"/>
      <w:marBottom w:val="0"/>
      <w:divBdr>
        <w:top w:val="none" w:sz="0" w:space="0" w:color="auto"/>
        <w:left w:val="none" w:sz="0" w:space="0" w:color="auto"/>
        <w:bottom w:val="none" w:sz="0" w:space="0" w:color="auto"/>
        <w:right w:val="none" w:sz="0" w:space="0" w:color="auto"/>
      </w:divBdr>
    </w:div>
    <w:div w:id="1052463151">
      <w:bodyDiv w:val="1"/>
      <w:marLeft w:val="0"/>
      <w:marRight w:val="0"/>
      <w:marTop w:val="0"/>
      <w:marBottom w:val="0"/>
      <w:divBdr>
        <w:top w:val="none" w:sz="0" w:space="0" w:color="auto"/>
        <w:left w:val="none" w:sz="0" w:space="0" w:color="auto"/>
        <w:bottom w:val="none" w:sz="0" w:space="0" w:color="auto"/>
        <w:right w:val="none" w:sz="0" w:space="0" w:color="auto"/>
      </w:divBdr>
    </w:div>
    <w:div w:id="1100105471">
      <w:bodyDiv w:val="1"/>
      <w:marLeft w:val="0"/>
      <w:marRight w:val="0"/>
      <w:marTop w:val="0"/>
      <w:marBottom w:val="0"/>
      <w:divBdr>
        <w:top w:val="none" w:sz="0" w:space="0" w:color="auto"/>
        <w:left w:val="none" w:sz="0" w:space="0" w:color="auto"/>
        <w:bottom w:val="none" w:sz="0" w:space="0" w:color="auto"/>
        <w:right w:val="none" w:sz="0" w:space="0" w:color="auto"/>
      </w:divBdr>
    </w:div>
    <w:div w:id="1111122202">
      <w:bodyDiv w:val="1"/>
      <w:marLeft w:val="0"/>
      <w:marRight w:val="0"/>
      <w:marTop w:val="0"/>
      <w:marBottom w:val="0"/>
      <w:divBdr>
        <w:top w:val="none" w:sz="0" w:space="0" w:color="auto"/>
        <w:left w:val="none" w:sz="0" w:space="0" w:color="auto"/>
        <w:bottom w:val="none" w:sz="0" w:space="0" w:color="auto"/>
        <w:right w:val="none" w:sz="0" w:space="0" w:color="auto"/>
      </w:divBdr>
    </w:div>
    <w:div w:id="1128472194">
      <w:bodyDiv w:val="1"/>
      <w:marLeft w:val="0"/>
      <w:marRight w:val="0"/>
      <w:marTop w:val="0"/>
      <w:marBottom w:val="0"/>
      <w:divBdr>
        <w:top w:val="none" w:sz="0" w:space="0" w:color="auto"/>
        <w:left w:val="none" w:sz="0" w:space="0" w:color="auto"/>
        <w:bottom w:val="none" w:sz="0" w:space="0" w:color="auto"/>
        <w:right w:val="none" w:sz="0" w:space="0" w:color="auto"/>
      </w:divBdr>
    </w:div>
    <w:div w:id="1139155143">
      <w:bodyDiv w:val="1"/>
      <w:marLeft w:val="0"/>
      <w:marRight w:val="0"/>
      <w:marTop w:val="0"/>
      <w:marBottom w:val="0"/>
      <w:divBdr>
        <w:top w:val="none" w:sz="0" w:space="0" w:color="auto"/>
        <w:left w:val="none" w:sz="0" w:space="0" w:color="auto"/>
        <w:bottom w:val="none" w:sz="0" w:space="0" w:color="auto"/>
        <w:right w:val="none" w:sz="0" w:space="0" w:color="auto"/>
      </w:divBdr>
    </w:div>
    <w:div w:id="1154295719">
      <w:bodyDiv w:val="1"/>
      <w:marLeft w:val="0"/>
      <w:marRight w:val="0"/>
      <w:marTop w:val="0"/>
      <w:marBottom w:val="0"/>
      <w:divBdr>
        <w:top w:val="none" w:sz="0" w:space="0" w:color="auto"/>
        <w:left w:val="none" w:sz="0" w:space="0" w:color="auto"/>
        <w:bottom w:val="none" w:sz="0" w:space="0" w:color="auto"/>
        <w:right w:val="none" w:sz="0" w:space="0" w:color="auto"/>
      </w:divBdr>
    </w:div>
    <w:div w:id="1214267642">
      <w:bodyDiv w:val="1"/>
      <w:marLeft w:val="0"/>
      <w:marRight w:val="0"/>
      <w:marTop w:val="0"/>
      <w:marBottom w:val="0"/>
      <w:divBdr>
        <w:top w:val="none" w:sz="0" w:space="0" w:color="auto"/>
        <w:left w:val="none" w:sz="0" w:space="0" w:color="auto"/>
        <w:bottom w:val="none" w:sz="0" w:space="0" w:color="auto"/>
        <w:right w:val="none" w:sz="0" w:space="0" w:color="auto"/>
      </w:divBdr>
    </w:div>
    <w:div w:id="1246651547">
      <w:bodyDiv w:val="1"/>
      <w:marLeft w:val="0"/>
      <w:marRight w:val="0"/>
      <w:marTop w:val="0"/>
      <w:marBottom w:val="0"/>
      <w:divBdr>
        <w:top w:val="none" w:sz="0" w:space="0" w:color="auto"/>
        <w:left w:val="none" w:sz="0" w:space="0" w:color="auto"/>
        <w:bottom w:val="none" w:sz="0" w:space="0" w:color="auto"/>
        <w:right w:val="none" w:sz="0" w:space="0" w:color="auto"/>
      </w:divBdr>
    </w:div>
    <w:div w:id="1281455545">
      <w:bodyDiv w:val="1"/>
      <w:marLeft w:val="0"/>
      <w:marRight w:val="0"/>
      <w:marTop w:val="0"/>
      <w:marBottom w:val="0"/>
      <w:divBdr>
        <w:top w:val="none" w:sz="0" w:space="0" w:color="auto"/>
        <w:left w:val="none" w:sz="0" w:space="0" w:color="auto"/>
        <w:bottom w:val="none" w:sz="0" w:space="0" w:color="auto"/>
        <w:right w:val="none" w:sz="0" w:space="0" w:color="auto"/>
      </w:divBdr>
    </w:div>
    <w:div w:id="1331519177">
      <w:bodyDiv w:val="1"/>
      <w:marLeft w:val="0"/>
      <w:marRight w:val="0"/>
      <w:marTop w:val="0"/>
      <w:marBottom w:val="0"/>
      <w:divBdr>
        <w:top w:val="none" w:sz="0" w:space="0" w:color="auto"/>
        <w:left w:val="none" w:sz="0" w:space="0" w:color="auto"/>
        <w:bottom w:val="none" w:sz="0" w:space="0" w:color="auto"/>
        <w:right w:val="none" w:sz="0" w:space="0" w:color="auto"/>
      </w:divBdr>
    </w:div>
    <w:div w:id="1412698009">
      <w:bodyDiv w:val="1"/>
      <w:marLeft w:val="0"/>
      <w:marRight w:val="0"/>
      <w:marTop w:val="0"/>
      <w:marBottom w:val="0"/>
      <w:divBdr>
        <w:top w:val="none" w:sz="0" w:space="0" w:color="auto"/>
        <w:left w:val="none" w:sz="0" w:space="0" w:color="auto"/>
        <w:bottom w:val="none" w:sz="0" w:space="0" w:color="auto"/>
        <w:right w:val="none" w:sz="0" w:space="0" w:color="auto"/>
      </w:divBdr>
    </w:div>
    <w:div w:id="1459227748">
      <w:bodyDiv w:val="1"/>
      <w:marLeft w:val="0"/>
      <w:marRight w:val="0"/>
      <w:marTop w:val="0"/>
      <w:marBottom w:val="0"/>
      <w:divBdr>
        <w:top w:val="none" w:sz="0" w:space="0" w:color="auto"/>
        <w:left w:val="none" w:sz="0" w:space="0" w:color="auto"/>
        <w:bottom w:val="none" w:sz="0" w:space="0" w:color="auto"/>
        <w:right w:val="none" w:sz="0" w:space="0" w:color="auto"/>
      </w:divBdr>
    </w:div>
    <w:div w:id="1460995525">
      <w:bodyDiv w:val="1"/>
      <w:marLeft w:val="0"/>
      <w:marRight w:val="0"/>
      <w:marTop w:val="0"/>
      <w:marBottom w:val="0"/>
      <w:divBdr>
        <w:top w:val="none" w:sz="0" w:space="0" w:color="auto"/>
        <w:left w:val="none" w:sz="0" w:space="0" w:color="auto"/>
        <w:bottom w:val="none" w:sz="0" w:space="0" w:color="auto"/>
        <w:right w:val="none" w:sz="0" w:space="0" w:color="auto"/>
      </w:divBdr>
    </w:div>
    <w:div w:id="1496648634">
      <w:bodyDiv w:val="1"/>
      <w:marLeft w:val="0"/>
      <w:marRight w:val="0"/>
      <w:marTop w:val="0"/>
      <w:marBottom w:val="0"/>
      <w:divBdr>
        <w:top w:val="none" w:sz="0" w:space="0" w:color="auto"/>
        <w:left w:val="none" w:sz="0" w:space="0" w:color="auto"/>
        <w:bottom w:val="none" w:sz="0" w:space="0" w:color="auto"/>
        <w:right w:val="none" w:sz="0" w:space="0" w:color="auto"/>
      </w:divBdr>
    </w:div>
    <w:div w:id="1498687818">
      <w:bodyDiv w:val="1"/>
      <w:marLeft w:val="0"/>
      <w:marRight w:val="0"/>
      <w:marTop w:val="0"/>
      <w:marBottom w:val="0"/>
      <w:divBdr>
        <w:top w:val="none" w:sz="0" w:space="0" w:color="auto"/>
        <w:left w:val="none" w:sz="0" w:space="0" w:color="auto"/>
        <w:bottom w:val="none" w:sz="0" w:space="0" w:color="auto"/>
        <w:right w:val="none" w:sz="0" w:space="0" w:color="auto"/>
      </w:divBdr>
    </w:div>
    <w:div w:id="1522695722">
      <w:bodyDiv w:val="1"/>
      <w:marLeft w:val="0"/>
      <w:marRight w:val="0"/>
      <w:marTop w:val="0"/>
      <w:marBottom w:val="0"/>
      <w:divBdr>
        <w:top w:val="none" w:sz="0" w:space="0" w:color="auto"/>
        <w:left w:val="none" w:sz="0" w:space="0" w:color="auto"/>
        <w:bottom w:val="none" w:sz="0" w:space="0" w:color="auto"/>
        <w:right w:val="none" w:sz="0" w:space="0" w:color="auto"/>
      </w:divBdr>
    </w:div>
    <w:div w:id="1530799502">
      <w:bodyDiv w:val="1"/>
      <w:marLeft w:val="0"/>
      <w:marRight w:val="0"/>
      <w:marTop w:val="0"/>
      <w:marBottom w:val="0"/>
      <w:divBdr>
        <w:top w:val="none" w:sz="0" w:space="0" w:color="auto"/>
        <w:left w:val="none" w:sz="0" w:space="0" w:color="auto"/>
        <w:bottom w:val="none" w:sz="0" w:space="0" w:color="auto"/>
        <w:right w:val="none" w:sz="0" w:space="0" w:color="auto"/>
      </w:divBdr>
    </w:div>
    <w:div w:id="1571306527">
      <w:bodyDiv w:val="1"/>
      <w:marLeft w:val="0"/>
      <w:marRight w:val="0"/>
      <w:marTop w:val="0"/>
      <w:marBottom w:val="0"/>
      <w:divBdr>
        <w:top w:val="none" w:sz="0" w:space="0" w:color="auto"/>
        <w:left w:val="none" w:sz="0" w:space="0" w:color="auto"/>
        <w:bottom w:val="none" w:sz="0" w:space="0" w:color="auto"/>
        <w:right w:val="none" w:sz="0" w:space="0" w:color="auto"/>
      </w:divBdr>
    </w:div>
    <w:div w:id="1572277065">
      <w:bodyDiv w:val="1"/>
      <w:marLeft w:val="0"/>
      <w:marRight w:val="0"/>
      <w:marTop w:val="0"/>
      <w:marBottom w:val="0"/>
      <w:divBdr>
        <w:top w:val="none" w:sz="0" w:space="0" w:color="auto"/>
        <w:left w:val="none" w:sz="0" w:space="0" w:color="auto"/>
        <w:bottom w:val="none" w:sz="0" w:space="0" w:color="auto"/>
        <w:right w:val="none" w:sz="0" w:space="0" w:color="auto"/>
      </w:divBdr>
    </w:div>
    <w:div w:id="1626547971">
      <w:bodyDiv w:val="1"/>
      <w:marLeft w:val="0"/>
      <w:marRight w:val="0"/>
      <w:marTop w:val="0"/>
      <w:marBottom w:val="0"/>
      <w:divBdr>
        <w:top w:val="none" w:sz="0" w:space="0" w:color="auto"/>
        <w:left w:val="none" w:sz="0" w:space="0" w:color="auto"/>
        <w:bottom w:val="none" w:sz="0" w:space="0" w:color="auto"/>
        <w:right w:val="none" w:sz="0" w:space="0" w:color="auto"/>
      </w:divBdr>
    </w:div>
    <w:div w:id="1663774960">
      <w:bodyDiv w:val="1"/>
      <w:marLeft w:val="0"/>
      <w:marRight w:val="0"/>
      <w:marTop w:val="0"/>
      <w:marBottom w:val="0"/>
      <w:divBdr>
        <w:top w:val="none" w:sz="0" w:space="0" w:color="auto"/>
        <w:left w:val="none" w:sz="0" w:space="0" w:color="auto"/>
        <w:bottom w:val="none" w:sz="0" w:space="0" w:color="auto"/>
        <w:right w:val="none" w:sz="0" w:space="0" w:color="auto"/>
      </w:divBdr>
    </w:div>
    <w:div w:id="1667436062">
      <w:bodyDiv w:val="1"/>
      <w:marLeft w:val="0"/>
      <w:marRight w:val="0"/>
      <w:marTop w:val="0"/>
      <w:marBottom w:val="0"/>
      <w:divBdr>
        <w:top w:val="none" w:sz="0" w:space="0" w:color="auto"/>
        <w:left w:val="none" w:sz="0" w:space="0" w:color="auto"/>
        <w:bottom w:val="none" w:sz="0" w:space="0" w:color="auto"/>
        <w:right w:val="none" w:sz="0" w:space="0" w:color="auto"/>
      </w:divBdr>
    </w:div>
    <w:div w:id="1685011984">
      <w:bodyDiv w:val="1"/>
      <w:marLeft w:val="0"/>
      <w:marRight w:val="0"/>
      <w:marTop w:val="0"/>
      <w:marBottom w:val="0"/>
      <w:divBdr>
        <w:top w:val="none" w:sz="0" w:space="0" w:color="auto"/>
        <w:left w:val="none" w:sz="0" w:space="0" w:color="auto"/>
        <w:bottom w:val="none" w:sz="0" w:space="0" w:color="auto"/>
        <w:right w:val="none" w:sz="0" w:space="0" w:color="auto"/>
      </w:divBdr>
    </w:div>
    <w:div w:id="1735346422">
      <w:bodyDiv w:val="1"/>
      <w:marLeft w:val="0"/>
      <w:marRight w:val="0"/>
      <w:marTop w:val="0"/>
      <w:marBottom w:val="0"/>
      <w:divBdr>
        <w:top w:val="none" w:sz="0" w:space="0" w:color="auto"/>
        <w:left w:val="none" w:sz="0" w:space="0" w:color="auto"/>
        <w:bottom w:val="none" w:sz="0" w:space="0" w:color="auto"/>
        <w:right w:val="none" w:sz="0" w:space="0" w:color="auto"/>
      </w:divBdr>
    </w:div>
    <w:div w:id="1815682985">
      <w:bodyDiv w:val="1"/>
      <w:marLeft w:val="0"/>
      <w:marRight w:val="0"/>
      <w:marTop w:val="0"/>
      <w:marBottom w:val="0"/>
      <w:divBdr>
        <w:top w:val="none" w:sz="0" w:space="0" w:color="auto"/>
        <w:left w:val="none" w:sz="0" w:space="0" w:color="auto"/>
        <w:bottom w:val="none" w:sz="0" w:space="0" w:color="auto"/>
        <w:right w:val="none" w:sz="0" w:space="0" w:color="auto"/>
      </w:divBdr>
    </w:div>
    <w:div w:id="1884488433">
      <w:bodyDiv w:val="1"/>
      <w:marLeft w:val="0"/>
      <w:marRight w:val="0"/>
      <w:marTop w:val="0"/>
      <w:marBottom w:val="0"/>
      <w:divBdr>
        <w:top w:val="none" w:sz="0" w:space="0" w:color="auto"/>
        <w:left w:val="none" w:sz="0" w:space="0" w:color="auto"/>
        <w:bottom w:val="none" w:sz="0" w:space="0" w:color="auto"/>
        <w:right w:val="none" w:sz="0" w:space="0" w:color="auto"/>
      </w:divBdr>
    </w:div>
    <w:div w:id="1962766314">
      <w:bodyDiv w:val="1"/>
      <w:marLeft w:val="0"/>
      <w:marRight w:val="0"/>
      <w:marTop w:val="0"/>
      <w:marBottom w:val="0"/>
      <w:divBdr>
        <w:top w:val="none" w:sz="0" w:space="0" w:color="auto"/>
        <w:left w:val="none" w:sz="0" w:space="0" w:color="auto"/>
        <w:bottom w:val="none" w:sz="0" w:space="0" w:color="auto"/>
        <w:right w:val="none" w:sz="0" w:space="0" w:color="auto"/>
      </w:divBdr>
    </w:div>
    <w:div w:id="1964997422">
      <w:bodyDiv w:val="1"/>
      <w:marLeft w:val="0"/>
      <w:marRight w:val="0"/>
      <w:marTop w:val="0"/>
      <w:marBottom w:val="0"/>
      <w:divBdr>
        <w:top w:val="none" w:sz="0" w:space="0" w:color="auto"/>
        <w:left w:val="none" w:sz="0" w:space="0" w:color="auto"/>
        <w:bottom w:val="none" w:sz="0" w:space="0" w:color="auto"/>
        <w:right w:val="none" w:sz="0" w:space="0" w:color="auto"/>
      </w:divBdr>
    </w:div>
    <w:div w:id="2014449839">
      <w:bodyDiv w:val="1"/>
      <w:marLeft w:val="0"/>
      <w:marRight w:val="0"/>
      <w:marTop w:val="0"/>
      <w:marBottom w:val="0"/>
      <w:divBdr>
        <w:top w:val="none" w:sz="0" w:space="0" w:color="auto"/>
        <w:left w:val="none" w:sz="0" w:space="0" w:color="auto"/>
        <w:bottom w:val="none" w:sz="0" w:space="0" w:color="auto"/>
        <w:right w:val="none" w:sz="0" w:space="0" w:color="auto"/>
      </w:divBdr>
    </w:div>
    <w:div w:id="2014990553">
      <w:bodyDiv w:val="1"/>
      <w:marLeft w:val="0"/>
      <w:marRight w:val="0"/>
      <w:marTop w:val="0"/>
      <w:marBottom w:val="0"/>
      <w:divBdr>
        <w:top w:val="none" w:sz="0" w:space="0" w:color="auto"/>
        <w:left w:val="none" w:sz="0" w:space="0" w:color="auto"/>
        <w:bottom w:val="none" w:sz="0" w:space="0" w:color="auto"/>
        <w:right w:val="none" w:sz="0" w:space="0" w:color="auto"/>
      </w:divBdr>
    </w:div>
    <w:div w:id="2022776738">
      <w:bodyDiv w:val="1"/>
      <w:marLeft w:val="0"/>
      <w:marRight w:val="0"/>
      <w:marTop w:val="0"/>
      <w:marBottom w:val="0"/>
      <w:divBdr>
        <w:top w:val="none" w:sz="0" w:space="0" w:color="auto"/>
        <w:left w:val="none" w:sz="0" w:space="0" w:color="auto"/>
        <w:bottom w:val="none" w:sz="0" w:space="0" w:color="auto"/>
        <w:right w:val="none" w:sz="0" w:space="0" w:color="auto"/>
      </w:divBdr>
    </w:div>
    <w:div w:id="2031950788">
      <w:bodyDiv w:val="1"/>
      <w:marLeft w:val="0"/>
      <w:marRight w:val="0"/>
      <w:marTop w:val="0"/>
      <w:marBottom w:val="0"/>
      <w:divBdr>
        <w:top w:val="none" w:sz="0" w:space="0" w:color="auto"/>
        <w:left w:val="none" w:sz="0" w:space="0" w:color="auto"/>
        <w:bottom w:val="none" w:sz="0" w:space="0" w:color="auto"/>
        <w:right w:val="none" w:sz="0" w:space="0" w:color="auto"/>
      </w:divBdr>
    </w:div>
    <w:div w:id="2038966417">
      <w:bodyDiv w:val="1"/>
      <w:marLeft w:val="0"/>
      <w:marRight w:val="0"/>
      <w:marTop w:val="0"/>
      <w:marBottom w:val="0"/>
      <w:divBdr>
        <w:top w:val="none" w:sz="0" w:space="0" w:color="auto"/>
        <w:left w:val="none" w:sz="0" w:space="0" w:color="auto"/>
        <w:bottom w:val="none" w:sz="0" w:space="0" w:color="auto"/>
        <w:right w:val="none" w:sz="0" w:space="0" w:color="auto"/>
      </w:divBdr>
    </w:div>
    <w:div w:id="2049793808">
      <w:bodyDiv w:val="1"/>
      <w:marLeft w:val="0"/>
      <w:marRight w:val="0"/>
      <w:marTop w:val="0"/>
      <w:marBottom w:val="0"/>
      <w:divBdr>
        <w:top w:val="none" w:sz="0" w:space="0" w:color="auto"/>
        <w:left w:val="none" w:sz="0" w:space="0" w:color="auto"/>
        <w:bottom w:val="none" w:sz="0" w:space="0" w:color="auto"/>
        <w:right w:val="none" w:sz="0" w:space="0" w:color="auto"/>
      </w:divBdr>
    </w:div>
    <w:div w:id="2053799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chart" Target="charts/chart16.xml"/><Relationship Id="rId25" Type="http://schemas.openxmlformats.org/officeDocument/2006/relationships/chart" Target="charts/chart17.xml"/><Relationship Id="rId26" Type="http://schemas.openxmlformats.org/officeDocument/2006/relationships/chart" Target="charts/chart18.xml"/><Relationship Id="rId27" Type="http://schemas.openxmlformats.org/officeDocument/2006/relationships/chart" Target="charts/chart19.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EPI%20208d:Users:epi2:Desktop:USCstudentsfromEPISpring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EUNHEE:USCstudentsfromEPISpring20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EUNHEE:USCstudentsfromEPISpring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EUNHEE:USCstudentsfromEPISpring20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EUNHEE:USCstudentsfromEPISpring20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EUNHEE:USCstudentsfromEPISpring20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EUNHEE:USCstudentsfromEPISpring20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EUNHEE:USCstudentsfromEPISpring20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EPI%20208d:Users:epi2:Desktop:USCstudentsfromEPISpring201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EPI%20208d:Users:epi2:Desktop:USCstudentsfromEPISpring201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EPI%20208d:Users:epi2:Desktop:USCstudentsfromEPISpring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PI%20208d:Users:epi2:Desktop:USCstudentsfromEPISpring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PI%20208d:Users:epi2:Desktop:USCstudentsfromEPISpring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PI%20208d:Users:epi2:Documents:Microsoft%20User%20Data:Office%202011%20AutoRecovery:USCstudentsfromEPISpring2012%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PI%20208d:Users:epi2:Documents:Microsoft%20User%20Data:Office%202011%20AutoRecovery:USCstudentsfromEPISpring2012%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PI%20208d:Users:epi2:Documents:Microsoft%20User%20Data:Office%202011%20AutoRecovery:USCstudentsfromEPISpring2012%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UNHEE:USCstudentsfromEPISpring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EPI%20208d:Users:epi2:Documents:Microsoft%20User%20Data:Office%202011%20AutoRecovery:USCstudentsfromEPISpring2012%20(version%201).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EPI%20208d:Users:epi2:Documents:Microsoft%20User%20Data:Office%202011%20AutoRecovery:USCstudentsfromEPISpring2012%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UnderGradStudents!$G$354</c:f>
              <c:strCache>
                <c:ptCount val="1"/>
                <c:pt idx="0">
                  <c:v>Number of UnderGrad Students</c:v>
                </c:pt>
              </c:strCache>
            </c:strRef>
          </c:tx>
          <c:dLbls>
            <c:showLegendKey val="0"/>
            <c:showVal val="0"/>
            <c:showCatName val="1"/>
            <c:showSerName val="0"/>
            <c:showPercent val="1"/>
            <c:showBubbleSize val="0"/>
            <c:showLeaderLines val="1"/>
          </c:dLbls>
          <c:cat>
            <c:strRef>
              <c:f>UnderGradStudents!$H$353:$I$353</c:f>
              <c:strCache>
                <c:ptCount val="2"/>
                <c:pt idx="0">
                  <c:v>EPI</c:v>
                </c:pt>
                <c:pt idx="1">
                  <c:v>Non-EPI</c:v>
                </c:pt>
              </c:strCache>
            </c:strRef>
          </c:cat>
          <c:val>
            <c:numRef>
              <c:f>UnderGradStudents!$H$354:$I$354</c:f>
              <c:numCache>
                <c:formatCode>General</c:formatCode>
                <c:ptCount val="2"/>
                <c:pt idx="0">
                  <c:v>136.0</c:v>
                </c:pt>
                <c:pt idx="1">
                  <c:v>210.0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RVvs.GPA!$O$92</c:f>
              <c:strCache>
                <c:ptCount val="1"/>
                <c:pt idx="0">
                  <c:v>GPA</c:v>
                </c:pt>
              </c:strCache>
            </c:strRef>
          </c:tx>
          <c:marker>
            <c:symbol val="none"/>
          </c:marker>
          <c:cat>
            <c:strRef>
              <c:f>RVvs.GPA!$N$93:$N$96</c:f>
              <c:strCache>
                <c:ptCount val="4"/>
                <c:pt idx="0">
                  <c:v>6a</c:v>
                </c:pt>
                <c:pt idx="1">
                  <c:v>6b</c:v>
                </c:pt>
                <c:pt idx="2">
                  <c:v>6c</c:v>
                </c:pt>
                <c:pt idx="3">
                  <c:v>6d-6f</c:v>
                </c:pt>
              </c:strCache>
            </c:strRef>
          </c:cat>
          <c:val>
            <c:numRef>
              <c:f>RVvs.GPA!$O$93:$O$96</c:f>
              <c:numCache>
                <c:formatCode>General</c:formatCode>
                <c:ptCount val="4"/>
                <c:pt idx="0">
                  <c:v>3.44</c:v>
                </c:pt>
                <c:pt idx="1">
                  <c:v>3.29</c:v>
                </c:pt>
                <c:pt idx="2">
                  <c:v>3.51</c:v>
                </c:pt>
                <c:pt idx="3">
                  <c:v>2.93</c:v>
                </c:pt>
              </c:numCache>
            </c:numRef>
          </c:val>
          <c:smooth val="0"/>
        </c:ser>
        <c:ser>
          <c:idx val="1"/>
          <c:order val="1"/>
          <c:tx>
            <c:strRef>
              <c:f>RVvs.GPA!$P$92</c:f>
              <c:strCache>
                <c:ptCount val="1"/>
                <c:pt idx="0">
                  <c:v>English 101</c:v>
                </c:pt>
              </c:strCache>
            </c:strRef>
          </c:tx>
          <c:marker>
            <c:symbol val="none"/>
          </c:marker>
          <c:cat>
            <c:strRef>
              <c:f>RVvs.GPA!$N$93:$N$96</c:f>
              <c:strCache>
                <c:ptCount val="4"/>
                <c:pt idx="0">
                  <c:v>6a</c:v>
                </c:pt>
                <c:pt idx="1">
                  <c:v>6b</c:v>
                </c:pt>
                <c:pt idx="2">
                  <c:v>6c</c:v>
                </c:pt>
                <c:pt idx="3">
                  <c:v>6d-6f</c:v>
                </c:pt>
              </c:strCache>
            </c:strRef>
          </c:cat>
          <c:val>
            <c:numRef>
              <c:f>RVvs.GPA!$P$93:$P$96</c:f>
              <c:numCache>
                <c:formatCode>General</c:formatCode>
                <c:ptCount val="4"/>
                <c:pt idx="0">
                  <c:v>3.22</c:v>
                </c:pt>
                <c:pt idx="1">
                  <c:v>3.42</c:v>
                </c:pt>
                <c:pt idx="2">
                  <c:v>3.32</c:v>
                </c:pt>
                <c:pt idx="3">
                  <c:v>3.06</c:v>
                </c:pt>
              </c:numCache>
            </c:numRef>
          </c:val>
          <c:smooth val="0"/>
        </c:ser>
        <c:ser>
          <c:idx val="2"/>
          <c:order val="2"/>
          <c:tx>
            <c:strRef>
              <c:f>RVvs.GPA!$Q$92</c:f>
              <c:strCache>
                <c:ptCount val="1"/>
                <c:pt idx="0">
                  <c:v>English 102</c:v>
                </c:pt>
              </c:strCache>
            </c:strRef>
          </c:tx>
          <c:marker>
            <c:symbol val="none"/>
          </c:marker>
          <c:cat>
            <c:strRef>
              <c:f>RVvs.GPA!$N$93:$N$96</c:f>
              <c:strCache>
                <c:ptCount val="4"/>
                <c:pt idx="0">
                  <c:v>6a</c:v>
                </c:pt>
                <c:pt idx="1">
                  <c:v>6b</c:v>
                </c:pt>
                <c:pt idx="2">
                  <c:v>6c</c:v>
                </c:pt>
                <c:pt idx="3">
                  <c:v>6d-6f</c:v>
                </c:pt>
              </c:strCache>
            </c:strRef>
          </c:cat>
          <c:val>
            <c:numRef>
              <c:f>RVvs.GPA!$Q$93:$Q$96</c:f>
              <c:numCache>
                <c:formatCode>General</c:formatCode>
                <c:ptCount val="4"/>
                <c:pt idx="0">
                  <c:v>3.77</c:v>
                </c:pt>
                <c:pt idx="1">
                  <c:v>3.39</c:v>
                </c:pt>
                <c:pt idx="2">
                  <c:v>3.4</c:v>
                </c:pt>
                <c:pt idx="3">
                  <c:v>3.5</c:v>
                </c:pt>
              </c:numCache>
            </c:numRef>
          </c:val>
          <c:smooth val="0"/>
        </c:ser>
        <c:dLbls>
          <c:showLegendKey val="0"/>
          <c:showVal val="0"/>
          <c:showCatName val="0"/>
          <c:showSerName val="0"/>
          <c:showPercent val="0"/>
          <c:showBubbleSize val="0"/>
        </c:dLbls>
        <c:marker val="1"/>
        <c:smooth val="0"/>
        <c:axId val="-2135218232"/>
        <c:axId val="-2135232680"/>
      </c:lineChart>
      <c:catAx>
        <c:axId val="-2135218232"/>
        <c:scaling>
          <c:orientation val="minMax"/>
        </c:scaling>
        <c:delete val="0"/>
        <c:axPos val="b"/>
        <c:majorTickMark val="out"/>
        <c:minorTickMark val="none"/>
        <c:tickLblPos val="nextTo"/>
        <c:crossAx val="-2135232680"/>
        <c:crosses val="autoZero"/>
        <c:auto val="1"/>
        <c:lblAlgn val="ctr"/>
        <c:lblOffset val="100"/>
        <c:noMultiLvlLbl val="0"/>
      </c:catAx>
      <c:valAx>
        <c:axId val="-2135232680"/>
        <c:scaling>
          <c:orientation val="minMax"/>
        </c:scaling>
        <c:delete val="0"/>
        <c:axPos val="l"/>
        <c:majorGridlines/>
        <c:numFmt formatCode="General" sourceLinked="1"/>
        <c:majorTickMark val="out"/>
        <c:minorTickMark val="none"/>
        <c:tickLblPos val="nextTo"/>
        <c:crossAx val="-21352182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itle>
    <c:autoTitleDeleted val="0"/>
    <c:plotArea>
      <c:layout/>
      <c:barChart>
        <c:barDir val="col"/>
        <c:grouping val="clustered"/>
        <c:varyColors val="0"/>
        <c:ser>
          <c:idx val="0"/>
          <c:order val="0"/>
          <c:tx>
            <c:strRef>
              <c:f>RVvs.GPA!$U$53</c:f>
              <c:strCache>
                <c:ptCount val="1"/>
                <c:pt idx="0">
                  <c:v>GPA</c:v>
                </c:pt>
              </c:strCache>
            </c:strRef>
          </c:tx>
          <c:invertIfNegative val="0"/>
          <c:cat>
            <c:multiLvlStrRef>
              <c:f>RVvs.GPA!$S$54:$T$61</c:f>
              <c:multiLvlStrCache>
                <c:ptCount val="8"/>
                <c:lvl>
                  <c:pt idx="0">
                    <c:v>Level 5</c:v>
                  </c:pt>
                  <c:pt idx="1">
                    <c:v>Level 6</c:v>
                  </c:pt>
                  <c:pt idx="2">
                    <c:v>Level 5</c:v>
                  </c:pt>
                  <c:pt idx="3">
                    <c:v>Level 6</c:v>
                  </c:pt>
                  <c:pt idx="4">
                    <c:v>Level 5</c:v>
                  </c:pt>
                  <c:pt idx="5">
                    <c:v>Level 6</c:v>
                  </c:pt>
                  <c:pt idx="6">
                    <c:v>Level 5</c:v>
                  </c:pt>
                  <c:pt idx="7">
                    <c:v>Level 6</c:v>
                  </c:pt>
                </c:lvl>
                <c:lvl>
                  <c:pt idx="0">
                    <c:v>a</c:v>
                  </c:pt>
                  <c:pt idx="2">
                    <c:v>b</c:v>
                  </c:pt>
                  <c:pt idx="4">
                    <c:v>c</c:v>
                  </c:pt>
                  <c:pt idx="6">
                    <c:v>d-f</c:v>
                  </c:pt>
                </c:lvl>
              </c:multiLvlStrCache>
            </c:multiLvlStrRef>
          </c:cat>
          <c:val>
            <c:numRef>
              <c:f>RVvs.GPA!$U$54:$U$61</c:f>
              <c:numCache>
                <c:formatCode>General</c:formatCode>
                <c:ptCount val="8"/>
                <c:pt idx="0" formatCode="#,##0.00">
                  <c:v>3.27</c:v>
                </c:pt>
                <c:pt idx="1">
                  <c:v>3.44</c:v>
                </c:pt>
                <c:pt idx="2" formatCode="#,##0.00">
                  <c:v>3.39</c:v>
                </c:pt>
                <c:pt idx="3">
                  <c:v>3.29</c:v>
                </c:pt>
                <c:pt idx="4" formatCode="#,##0.00">
                  <c:v>2.78</c:v>
                </c:pt>
                <c:pt idx="5">
                  <c:v>3.51</c:v>
                </c:pt>
                <c:pt idx="6" formatCode="#,##0.00">
                  <c:v>3.85</c:v>
                </c:pt>
                <c:pt idx="7">
                  <c:v>2.93</c:v>
                </c:pt>
              </c:numCache>
            </c:numRef>
          </c:val>
        </c:ser>
        <c:dLbls>
          <c:showLegendKey val="0"/>
          <c:showVal val="0"/>
          <c:showCatName val="0"/>
          <c:showSerName val="0"/>
          <c:showPercent val="0"/>
          <c:showBubbleSize val="0"/>
        </c:dLbls>
        <c:gapWidth val="150"/>
        <c:axId val="-2136670840"/>
        <c:axId val="-2136499992"/>
      </c:barChart>
      <c:catAx>
        <c:axId val="-2136670840"/>
        <c:scaling>
          <c:orientation val="minMax"/>
        </c:scaling>
        <c:delete val="0"/>
        <c:axPos val="b"/>
        <c:majorTickMark val="out"/>
        <c:minorTickMark val="none"/>
        <c:tickLblPos val="nextTo"/>
        <c:crossAx val="-2136499992"/>
        <c:crosses val="autoZero"/>
        <c:auto val="1"/>
        <c:lblAlgn val="ctr"/>
        <c:lblOffset val="100"/>
        <c:noMultiLvlLbl val="0"/>
      </c:catAx>
      <c:valAx>
        <c:axId val="-2136499992"/>
        <c:scaling>
          <c:orientation val="minMax"/>
        </c:scaling>
        <c:delete val="0"/>
        <c:axPos val="l"/>
        <c:majorGridlines/>
        <c:numFmt formatCode="#,##0.00" sourceLinked="1"/>
        <c:majorTickMark val="out"/>
        <c:minorTickMark val="none"/>
        <c:tickLblPos val="nextTo"/>
        <c:crossAx val="-213667084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itle>
    <c:autoTitleDeleted val="0"/>
    <c:plotArea>
      <c:layout/>
      <c:barChart>
        <c:barDir val="col"/>
        <c:grouping val="clustered"/>
        <c:varyColors val="0"/>
        <c:ser>
          <c:idx val="0"/>
          <c:order val="0"/>
          <c:tx>
            <c:strRef>
              <c:f>RVvs.GPA!$AA$53</c:f>
              <c:strCache>
                <c:ptCount val="1"/>
                <c:pt idx="0">
                  <c:v>English 101</c:v>
                </c:pt>
              </c:strCache>
            </c:strRef>
          </c:tx>
          <c:invertIfNegative val="0"/>
          <c:cat>
            <c:multiLvlStrRef>
              <c:f>RVvs.GPA!$Y$54:$Z$61</c:f>
              <c:multiLvlStrCache>
                <c:ptCount val="8"/>
                <c:lvl>
                  <c:pt idx="0">
                    <c:v>Level 5</c:v>
                  </c:pt>
                  <c:pt idx="1">
                    <c:v>Level 6</c:v>
                  </c:pt>
                  <c:pt idx="2">
                    <c:v>Level 5</c:v>
                  </c:pt>
                  <c:pt idx="3">
                    <c:v>Level 6</c:v>
                  </c:pt>
                  <c:pt idx="4">
                    <c:v>Level 5</c:v>
                  </c:pt>
                  <c:pt idx="5">
                    <c:v>Level 6</c:v>
                  </c:pt>
                  <c:pt idx="6">
                    <c:v>Level 5</c:v>
                  </c:pt>
                  <c:pt idx="7">
                    <c:v>Level 6</c:v>
                  </c:pt>
                </c:lvl>
                <c:lvl>
                  <c:pt idx="0">
                    <c:v>a</c:v>
                  </c:pt>
                  <c:pt idx="2">
                    <c:v>b</c:v>
                  </c:pt>
                  <c:pt idx="4">
                    <c:v>c</c:v>
                  </c:pt>
                  <c:pt idx="6">
                    <c:v>d-f</c:v>
                  </c:pt>
                </c:lvl>
              </c:multiLvlStrCache>
            </c:multiLvlStrRef>
          </c:cat>
          <c:val>
            <c:numRef>
              <c:f>RVvs.GPA!$AA$54:$AA$61</c:f>
              <c:numCache>
                <c:formatCode>General</c:formatCode>
                <c:ptCount val="8"/>
                <c:pt idx="0" formatCode="#,##0.00">
                  <c:v>3.25</c:v>
                </c:pt>
                <c:pt idx="1">
                  <c:v>3.22</c:v>
                </c:pt>
                <c:pt idx="2" formatCode="#,##0.00">
                  <c:v>2.79</c:v>
                </c:pt>
                <c:pt idx="3">
                  <c:v>3.42</c:v>
                </c:pt>
                <c:pt idx="4" formatCode="#,##0.00">
                  <c:v>2.67</c:v>
                </c:pt>
                <c:pt idx="5">
                  <c:v>3.32</c:v>
                </c:pt>
                <c:pt idx="6" formatCode="#,##0.00">
                  <c:v>3.0</c:v>
                </c:pt>
                <c:pt idx="7">
                  <c:v>3.06</c:v>
                </c:pt>
              </c:numCache>
            </c:numRef>
          </c:val>
        </c:ser>
        <c:dLbls>
          <c:showLegendKey val="0"/>
          <c:showVal val="0"/>
          <c:showCatName val="0"/>
          <c:showSerName val="0"/>
          <c:showPercent val="0"/>
          <c:showBubbleSize val="0"/>
        </c:dLbls>
        <c:gapWidth val="150"/>
        <c:axId val="-2133467352"/>
        <c:axId val="-2133464360"/>
      </c:barChart>
      <c:catAx>
        <c:axId val="-2133467352"/>
        <c:scaling>
          <c:orientation val="minMax"/>
        </c:scaling>
        <c:delete val="0"/>
        <c:axPos val="b"/>
        <c:majorTickMark val="out"/>
        <c:minorTickMark val="none"/>
        <c:tickLblPos val="nextTo"/>
        <c:crossAx val="-2133464360"/>
        <c:crosses val="autoZero"/>
        <c:auto val="1"/>
        <c:lblAlgn val="ctr"/>
        <c:lblOffset val="100"/>
        <c:noMultiLvlLbl val="0"/>
      </c:catAx>
      <c:valAx>
        <c:axId val="-2133464360"/>
        <c:scaling>
          <c:orientation val="minMax"/>
        </c:scaling>
        <c:delete val="0"/>
        <c:axPos val="l"/>
        <c:majorGridlines/>
        <c:numFmt formatCode="#,##0.00" sourceLinked="1"/>
        <c:majorTickMark val="out"/>
        <c:minorTickMark val="none"/>
        <c:tickLblPos val="nextTo"/>
        <c:crossAx val="-213346735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itle>
    <c:autoTitleDeleted val="0"/>
    <c:plotArea>
      <c:layout/>
      <c:barChart>
        <c:barDir val="col"/>
        <c:grouping val="clustered"/>
        <c:varyColors val="0"/>
        <c:ser>
          <c:idx val="0"/>
          <c:order val="0"/>
          <c:tx>
            <c:strRef>
              <c:f>RVvs.GPA!$AE$53</c:f>
              <c:strCache>
                <c:ptCount val="1"/>
                <c:pt idx="0">
                  <c:v>English 102</c:v>
                </c:pt>
              </c:strCache>
            </c:strRef>
          </c:tx>
          <c:invertIfNegative val="0"/>
          <c:cat>
            <c:multiLvlStrRef>
              <c:f>RVvs.GPA!$AC$54:$AD$61</c:f>
              <c:multiLvlStrCache>
                <c:ptCount val="8"/>
                <c:lvl>
                  <c:pt idx="0">
                    <c:v>Level 5</c:v>
                  </c:pt>
                  <c:pt idx="1">
                    <c:v>Level 6</c:v>
                  </c:pt>
                  <c:pt idx="2">
                    <c:v>Level 5</c:v>
                  </c:pt>
                  <c:pt idx="3">
                    <c:v>Level 6</c:v>
                  </c:pt>
                  <c:pt idx="4">
                    <c:v>Level 5</c:v>
                  </c:pt>
                  <c:pt idx="5">
                    <c:v>Level 6</c:v>
                  </c:pt>
                  <c:pt idx="6">
                    <c:v>Level 5</c:v>
                  </c:pt>
                  <c:pt idx="7">
                    <c:v>Level 6</c:v>
                  </c:pt>
                </c:lvl>
                <c:lvl>
                  <c:pt idx="0">
                    <c:v>a</c:v>
                  </c:pt>
                  <c:pt idx="2">
                    <c:v>b</c:v>
                  </c:pt>
                  <c:pt idx="4">
                    <c:v>c</c:v>
                  </c:pt>
                  <c:pt idx="6">
                    <c:v>d-f</c:v>
                  </c:pt>
                </c:lvl>
              </c:multiLvlStrCache>
            </c:multiLvlStrRef>
          </c:cat>
          <c:val>
            <c:numRef>
              <c:f>RVvs.GPA!$AE$54:$AE$61</c:f>
              <c:numCache>
                <c:formatCode>General</c:formatCode>
                <c:ptCount val="8"/>
                <c:pt idx="0" formatCode="#,##0.00">
                  <c:v>3.5</c:v>
                </c:pt>
                <c:pt idx="1">
                  <c:v>3.77</c:v>
                </c:pt>
                <c:pt idx="2" formatCode="#,##0.00">
                  <c:v>3.5</c:v>
                </c:pt>
                <c:pt idx="3">
                  <c:v>3.39</c:v>
                </c:pt>
                <c:pt idx="4" formatCode="#,##0.00">
                  <c:v>3.25</c:v>
                </c:pt>
                <c:pt idx="5">
                  <c:v>3.4</c:v>
                </c:pt>
                <c:pt idx="7">
                  <c:v>3.5</c:v>
                </c:pt>
              </c:numCache>
            </c:numRef>
          </c:val>
        </c:ser>
        <c:dLbls>
          <c:showLegendKey val="0"/>
          <c:showVal val="0"/>
          <c:showCatName val="0"/>
          <c:showSerName val="0"/>
          <c:showPercent val="0"/>
          <c:showBubbleSize val="0"/>
        </c:dLbls>
        <c:gapWidth val="150"/>
        <c:axId val="-2145965256"/>
        <c:axId val="-2136645928"/>
      </c:barChart>
      <c:catAx>
        <c:axId val="-2145965256"/>
        <c:scaling>
          <c:orientation val="minMax"/>
        </c:scaling>
        <c:delete val="0"/>
        <c:axPos val="b"/>
        <c:majorTickMark val="out"/>
        <c:minorTickMark val="none"/>
        <c:tickLblPos val="nextTo"/>
        <c:crossAx val="-2136645928"/>
        <c:crosses val="autoZero"/>
        <c:auto val="1"/>
        <c:lblAlgn val="ctr"/>
        <c:lblOffset val="100"/>
        <c:noMultiLvlLbl val="0"/>
      </c:catAx>
      <c:valAx>
        <c:axId val="-2136645928"/>
        <c:scaling>
          <c:orientation val="minMax"/>
        </c:scaling>
        <c:delete val="0"/>
        <c:axPos val="l"/>
        <c:majorGridlines/>
        <c:numFmt formatCode="#,##0.00" sourceLinked="1"/>
        <c:majorTickMark val="out"/>
        <c:minorTickMark val="none"/>
        <c:tickLblPos val="nextTo"/>
        <c:crossAx val="-214596525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col"/>
        <c:grouping val="clustered"/>
        <c:varyColors val="0"/>
        <c:ser>
          <c:idx val="0"/>
          <c:order val="0"/>
          <c:tx>
            <c:strRef>
              <c:f>SLvs.GPA!$C$152</c:f>
              <c:strCache>
                <c:ptCount val="1"/>
                <c:pt idx="0">
                  <c:v>Number of Students</c:v>
                </c:pt>
              </c:strCache>
            </c:strRef>
          </c:tx>
          <c:invertIfNegative val="0"/>
          <c:cat>
            <c:strRef>
              <c:f>SLvs.GPA!$B$153:$B$160</c:f>
              <c:strCache>
                <c:ptCount val="8"/>
                <c:pt idx="0">
                  <c:v>4a-4f</c:v>
                </c:pt>
                <c:pt idx="1">
                  <c:v>5a</c:v>
                </c:pt>
                <c:pt idx="2">
                  <c:v>5b</c:v>
                </c:pt>
                <c:pt idx="3">
                  <c:v>5c-5f</c:v>
                </c:pt>
                <c:pt idx="4">
                  <c:v>6a</c:v>
                </c:pt>
                <c:pt idx="5">
                  <c:v>6b</c:v>
                </c:pt>
                <c:pt idx="6">
                  <c:v>6c</c:v>
                </c:pt>
                <c:pt idx="7">
                  <c:v>6d-6f</c:v>
                </c:pt>
              </c:strCache>
            </c:strRef>
          </c:cat>
          <c:val>
            <c:numRef>
              <c:f>SLvs.GPA!$C$153:$C$160</c:f>
              <c:numCache>
                <c:formatCode>General</c:formatCode>
                <c:ptCount val="8"/>
                <c:pt idx="0">
                  <c:v>4.0</c:v>
                </c:pt>
                <c:pt idx="1">
                  <c:v>8.0</c:v>
                </c:pt>
                <c:pt idx="2">
                  <c:v>16.0</c:v>
                </c:pt>
                <c:pt idx="3">
                  <c:v>8.0</c:v>
                </c:pt>
                <c:pt idx="4">
                  <c:v>32.0</c:v>
                </c:pt>
                <c:pt idx="5">
                  <c:v>46.0</c:v>
                </c:pt>
                <c:pt idx="6">
                  <c:v>11.0</c:v>
                </c:pt>
                <c:pt idx="7">
                  <c:v>10.0</c:v>
                </c:pt>
              </c:numCache>
            </c:numRef>
          </c:val>
        </c:ser>
        <c:dLbls>
          <c:showLegendKey val="0"/>
          <c:showVal val="0"/>
          <c:showCatName val="0"/>
          <c:showSerName val="0"/>
          <c:showPercent val="0"/>
          <c:showBubbleSize val="0"/>
        </c:dLbls>
        <c:gapWidth val="150"/>
        <c:axId val="-2142528264"/>
        <c:axId val="-2143058664"/>
      </c:barChart>
      <c:catAx>
        <c:axId val="-2142528264"/>
        <c:scaling>
          <c:orientation val="minMax"/>
        </c:scaling>
        <c:delete val="0"/>
        <c:axPos val="b"/>
        <c:majorTickMark val="out"/>
        <c:minorTickMark val="none"/>
        <c:tickLblPos val="nextTo"/>
        <c:crossAx val="-2143058664"/>
        <c:crosses val="autoZero"/>
        <c:auto val="1"/>
        <c:lblAlgn val="ctr"/>
        <c:lblOffset val="100"/>
        <c:noMultiLvlLbl val="0"/>
      </c:catAx>
      <c:valAx>
        <c:axId val="-2143058664"/>
        <c:scaling>
          <c:orientation val="minMax"/>
        </c:scaling>
        <c:delete val="0"/>
        <c:axPos val="l"/>
        <c:majorGridlines/>
        <c:numFmt formatCode="General" sourceLinked="1"/>
        <c:majorTickMark val="out"/>
        <c:minorTickMark val="none"/>
        <c:tickLblPos val="nextTo"/>
        <c:crossAx val="-214252826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SLvs.GPA!$Q$33</c:f>
              <c:strCache>
                <c:ptCount val="1"/>
                <c:pt idx="0">
                  <c:v>GPA</c:v>
                </c:pt>
              </c:strCache>
            </c:strRef>
          </c:tx>
          <c:marker>
            <c:symbol val="none"/>
          </c:marker>
          <c:cat>
            <c:strRef>
              <c:f>SLvs.GPA!$P$34:$P$36</c:f>
              <c:strCache>
                <c:ptCount val="3"/>
                <c:pt idx="0">
                  <c:v>5a</c:v>
                </c:pt>
                <c:pt idx="1">
                  <c:v>5b</c:v>
                </c:pt>
                <c:pt idx="2">
                  <c:v>5c-5f</c:v>
                </c:pt>
              </c:strCache>
            </c:strRef>
          </c:cat>
          <c:val>
            <c:numRef>
              <c:f>SLvs.GPA!$Q$34:$Q$36</c:f>
              <c:numCache>
                <c:formatCode>General</c:formatCode>
                <c:ptCount val="3"/>
                <c:pt idx="0">
                  <c:v>3.33</c:v>
                </c:pt>
                <c:pt idx="1">
                  <c:v>3.49</c:v>
                </c:pt>
                <c:pt idx="2">
                  <c:v>3.53</c:v>
                </c:pt>
              </c:numCache>
            </c:numRef>
          </c:val>
          <c:smooth val="0"/>
        </c:ser>
        <c:ser>
          <c:idx val="1"/>
          <c:order val="1"/>
          <c:tx>
            <c:strRef>
              <c:f>SLvs.GPA!$R$33</c:f>
              <c:strCache>
                <c:ptCount val="1"/>
                <c:pt idx="0">
                  <c:v>English 101</c:v>
                </c:pt>
              </c:strCache>
            </c:strRef>
          </c:tx>
          <c:marker>
            <c:symbol val="none"/>
          </c:marker>
          <c:cat>
            <c:strRef>
              <c:f>SLvs.GPA!$P$34:$P$36</c:f>
              <c:strCache>
                <c:ptCount val="3"/>
                <c:pt idx="0">
                  <c:v>5a</c:v>
                </c:pt>
                <c:pt idx="1">
                  <c:v>5b</c:v>
                </c:pt>
                <c:pt idx="2">
                  <c:v>5c-5f</c:v>
                </c:pt>
              </c:strCache>
            </c:strRef>
          </c:cat>
          <c:val>
            <c:numRef>
              <c:f>SLvs.GPA!$R$34:$R$36</c:f>
              <c:numCache>
                <c:formatCode>General</c:formatCode>
                <c:ptCount val="3"/>
                <c:pt idx="0">
                  <c:v>2.79</c:v>
                </c:pt>
                <c:pt idx="1">
                  <c:v>3.15</c:v>
                </c:pt>
                <c:pt idx="2">
                  <c:v>3.5</c:v>
                </c:pt>
              </c:numCache>
            </c:numRef>
          </c:val>
          <c:smooth val="0"/>
        </c:ser>
        <c:ser>
          <c:idx val="2"/>
          <c:order val="2"/>
          <c:tx>
            <c:strRef>
              <c:f>SLvs.GPA!$S$33</c:f>
              <c:strCache>
                <c:ptCount val="1"/>
                <c:pt idx="0">
                  <c:v>English 102</c:v>
                </c:pt>
              </c:strCache>
            </c:strRef>
          </c:tx>
          <c:marker>
            <c:symbol val="none"/>
          </c:marker>
          <c:cat>
            <c:strRef>
              <c:f>SLvs.GPA!$P$34:$P$36</c:f>
              <c:strCache>
                <c:ptCount val="3"/>
                <c:pt idx="0">
                  <c:v>5a</c:v>
                </c:pt>
                <c:pt idx="1">
                  <c:v>5b</c:v>
                </c:pt>
                <c:pt idx="2">
                  <c:v>5c-5f</c:v>
                </c:pt>
              </c:strCache>
            </c:strRef>
          </c:cat>
          <c:val>
            <c:numRef>
              <c:f>SLvs.GPA!$S$34:$S$36</c:f>
              <c:numCache>
                <c:formatCode>General</c:formatCode>
                <c:ptCount val="3"/>
                <c:pt idx="0">
                  <c:v>3.71</c:v>
                </c:pt>
                <c:pt idx="1">
                  <c:v>3.4</c:v>
                </c:pt>
                <c:pt idx="2">
                  <c:v>3.0</c:v>
                </c:pt>
              </c:numCache>
            </c:numRef>
          </c:val>
          <c:smooth val="0"/>
        </c:ser>
        <c:dLbls>
          <c:showLegendKey val="0"/>
          <c:showVal val="0"/>
          <c:showCatName val="0"/>
          <c:showSerName val="0"/>
          <c:showPercent val="0"/>
          <c:showBubbleSize val="0"/>
        </c:dLbls>
        <c:marker val="1"/>
        <c:smooth val="0"/>
        <c:axId val="-2134994840"/>
        <c:axId val="-2134946264"/>
      </c:lineChart>
      <c:catAx>
        <c:axId val="-2134994840"/>
        <c:scaling>
          <c:orientation val="minMax"/>
        </c:scaling>
        <c:delete val="0"/>
        <c:axPos val="b"/>
        <c:majorTickMark val="out"/>
        <c:minorTickMark val="none"/>
        <c:tickLblPos val="nextTo"/>
        <c:crossAx val="-2134946264"/>
        <c:crosses val="autoZero"/>
        <c:auto val="1"/>
        <c:lblAlgn val="ctr"/>
        <c:lblOffset val="100"/>
        <c:noMultiLvlLbl val="0"/>
      </c:catAx>
      <c:valAx>
        <c:axId val="-2134946264"/>
        <c:scaling>
          <c:orientation val="minMax"/>
        </c:scaling>
        <c:delete val="0"/>
        <c:axPos val="l"/>
        <c:majorGridlines/>
        <c:numFmt formatCode="General" sourceLinked="1"/>
        <c:majorTickMark val="out"/>
        <c:minorTickMark val="none"/>
        <c:tickLblPos val="nextTo"/>
        <c:crossAx val="-213499484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SLvs.GPA!$Q$55</c:f>
              <c:strCache>
                <c:ptCount val="1"/>
                <c:pt idx="0">
                  <c:v>GPA</c:v>
                </c:pt>
              </c:strCache>
            </c:strRef>
          </c:tx>
          <c:marker>
            <c:symbol val="none"/>
          </c:marker>
          <c:cat>
            <c:strRef>
              <c:f>SLvs.GPA!$P$56:$P$59</c:f>
              <c:strCache>
                <c:ptCount val="4"/>
                <c:pt idx="0">
                  <c:v>6a</c:v>
                </c:pt>
                <c:pt idx="1">
                  <c:v>6b</c:v>
                </c:pt>
                <c:pt idx="2">
                  <c:v>6c</c:v>
                </c:pt>
                <c:pt idx="3">
                  <c:v>6d-6f</c:v>
                </c:pt>
              </c:strCache>
            </c:strRef>
          </c:cat>
          <c:val>
            <c:numRef>
              <c:f>SLvs.GPA!$Q$56:$Q$59</c:f>
              <c:numCache>
                <c:formatCode>General</c:formatCode>
                <c:ptCount val="4"/>
                <c:pt idx="0">
                  <c:v>3.31</c:v>
                </c:pt>
                <c:pt idx="1">
                  <c:v>3.23</c:v>
                </c:pt>
                <c:pt idx="2">
                  <c:v>3.64</c:v>
                </c:pt>
                <c:pt idx="3">
                  <c:v>2.93</c:v>
                </c:pt>
              </c:numCache>
            </c:numRef>
          </c:val>
          <c:smooth val="0"/>
        </c:ser>
        <c:ser>
          <c:idx val="1"/>
          <c:order val="1"/>
          <c:tx>
            <c:strRef>
              <c:f>SLvs.GPA!$R$55</c:f>
              <c:strCache>
                <c:ptCount val="1"/>
                <c:pt idx="0">
                  <c:v>English 101</c:v>
                </c:pt>
              </c:strCache>
            </c:strRef>
          </c:tx>
          <c:marker>
            <c:symbol val="none"/>
          </c:marker>
          <c:cat>
            <c:strRef>
              <c:f>SLvs.GPA!$P$56:$P$59</c:f>
              <c:strCache>
                <c:ptCount val="4"/>
                <c:pt idx="0">
                  <c:v>6a</c:v>
                </c:pt>
                <c:pt idx="1">
                  <c:v>6b</c:v>
                </c:pt>
                <c:pt idx="2">
                  <c:v>6c</c:v>
                </c:pt>
                <c:pt idx="3">
                  <c:v>6d-6f</c:v>
                </c:pt>
              </c:strCache>
            </c:strRef>
          </c:cat>
          <c:val>
            <c:numRef>
              <c:f>SLvs.GPA!$R$56:$R$59</c:f>
              <c:numCache>
                <c:formatCode>General</c:formatCode>
                <c:ptCount val="4"/>
                <c:pt idx="0">
                  <c:v>3.41</c:v>
                </c:pt>
                <c:pt idx="1">
                  <c:v>3.18</c:v>
                </c:pt>
                <c:pt idx="2">
                  <c:v>3.25</c:v>
                </c:pt>
                <c:pt idx="3">
                  <c:v>3.0</c:v>
                </c:pt>
              </c:numCache>
            </c:numRef>
          </c:val>
          <c:smooth val="0"/>
        </c:ser>
        <c:ser>
          <c:idx val="2"/>
          <c:order val="2"/>
          <c:tx>
            <c:strRef>
              <c:f>SLvs.GPA!$S$55</c:f>
              <c:strCache>
                <c:ptCount val="1"/>
                <c:pt idx="0">
                  <c:v>English 102</c:v>
                </c:pt>
              </c:strCache>
            </c:strRef>
          </c:tx>
          <c:marker>
            <c:symbol val="none"/>
          </c:marker>
          <c:cat>
            <c:strRef>
              <c:f>SLvs.GPA!$P$56:$P$59</c:f>
              <c:strCache>
                <c:ptCount val="4"/>
                <c:pt idx="0">
                  <c:v>6a</c:v>
                </c:pt>
                <c:pt idx="1">
                  <c:v>6b</c:v>
                </c:pt>
                <c:pt idx="2">
                  <c:v>6c</c:v>
                </c:pt>
                <c:pt idx="3">
                  <c:v>6d-6f</c:v>
                </c:pt>
              </c:strCache>
            </c:strRef>
          </c:cat>
          <c:val>
            <c:numRef>
              <c:f>SLvs.GPA!$S$56:$S$59</c:f>
              <c:numCache>
                <c:formatCode>General</c:formatCode>
                <c:ptCount val="4"/>
                <c:pt idx="0">
                  <c:v>3.6</c:v>
                </c:pt>
                <c:pt idx="1">
                  <c:v>3.43</c:v>
                </c:pt>
                <c:pt idx="2">
                  <c:v>3.17</c:v>
                </c:pt>
                <c:pt idx="3">
                  <c:v>3.39</c:v>
                </c:pt>
              </c:numCache>
            </c:numRef>
          </c:val>
          <c:smooth val="0"/>
        </c:ser>
        <c:dLbls>
          <c:showLegendKey val="0"/>
          <c:showVal val="0"/>
          <c:showCatName val="0"/>
          <c:showSerName val="0"/>
          <c:showPercent val="0"/>
          <c:showBubbleSize val="0"/>
        </c:dLbls>
        <c:marker val="1"/>
        <c:smooth val="0"/>
        <c:axId val="-2134301720"/>
        <c:axId val="-2134298744"/>
      </c:lineChart>
      <c:catAx>
        <c:axId val="-2134301720"/>
        <c:scaling>
          <c:orientation val="minMax"/>
        </c:scaling>
        <c:delete val="0"/>
        <c:axPos val="b"/>
        <c:majorTickMark val="out"/>
        <c:minorTickMark val="none"/>
        <c:tickLblPos val="nextTo"/>
        <c:crossAx val="-2134298744"/>
        <c:crosses val="autoZero"/>
        <c:auto val="1"/>
        <c:lblAlgn val="ctr"/>
        <c:lblOffset val="100"/>
        <c:noMultiLvlLbl val="0"/>
      </c:catAx>
      <c:valAx>
        <c:axId val="-2134298744"/>
        <c:scaling>
          <c:orientation val="minMax"/>
        </c:scaling>
        <c:delete val="0"/>
        <c:axPos val="l"/>
        <c:majorGridlines/>
        <c:numFmt formatCode="General" sourceLinked="1"/>
        <c:majorTickMark val="out"/>
        <c:minorTickMark val="none"/>
        <c:tickLblPos val="nextTo"/>
        <c:crossAx val="-213430172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itle>
    <c:autoTitleDeleted val="0"/>
    <c:plotArea>
      <c:layout/>
      <c:barChart>
        <c:barDir val="col"/>
        <c:grouping val="clustered"/>
        <c:varyColors val="0"/>
        <c:ser>
          <c:idx val="0"/>
          <c:order val="0"/>
          <c:tx>
            <c:strRef>
              <c:f>SLvs.GPA!$R$97</c:f>
              <c:strCache>
                <c:ptCount val="1"/>
                <c:pt idx="0">
                  <c:v>GPA</c:v>
                </c:pt>
              </c:strCache>
            </c:strRef>
          </c:tx>
          <c:invertIfNegative val="0"/>
          <c:cat>
            <c:multiLvlStrRef>
              <c:f>SLvs.GPA!$P$98:$Q$103</c:f>
              <c:multiLvlStrCache>
                <c:ptCount val="6"/>
                <c:lvl>
                  <c:pt idx="0">
                    <c:v>Level 5</c:v>
                  </c:pt>
                  <c:pt idx="1">
                    <c:v>Level 6</c:v>
                  </c:pt>
                  <c:pt idx="2">
                    <c:v>Level 5</c:v>
                  </c:pt>
                  <c:pt idx="3">
                    <c:v>Level 6</c:v>
                  </c:pt>
                  <c:pt idx="4">
                    <c:v>Level 5</c:v>
                  </c:pt>
                  <c:pt idx="5">
                    <c:v>Level 6</c:v>
                  </c:pt>
                </c:lvl>
                <c:lvl>
                  <c:pt idx="0">
                    <c:v>a</c:v>
                  </c:pt>
                  <c:pt idx="2">
                    <c:v>b</c:v>
                  </c:pt>
                  <c:pt idx="4">
                    <c:v>c-f</c:v>
                  </c:pt>
                </c:lvl>
              </c:multiLvlStrCache>
            </c:multiLvlStrRef>
          </c:cat>
          <c:val>
            <c:numRef>
              <c:f>SLvs.GPA!$R$98:$R$103</c:f>
              <c:numCache>
                <c:formatCode>General</c:formatCode>
                <c:ptCount val="6"/>
                <c:pt idx="0">
                  <c:v>3.33</c:v>
                </c:pt>
                <c:pt idx="1">
                  <c:v>3.44</c:v>
                </c:pt>
                <c:pt idx="2">
                  <c:v>3.49</c:v>
                </c:pt>
                <c:pt idx="3">
                  <c:v>3.29</c:v>
                </c:pt>
                <c:pt idx="4">
                  <c:v>3.53</c:v>
                </c:pt>
                <c:pt idx="5">
                  <c:v>3.17</c:v>
                </c:pt>
              </c:numCache>
            </c:numRef>
          </c:val>
        </c:ser>
        <c:dLbls>
          <c:showLegendKey val="0"/>
          <c:showVal val="0"/>
          <c:showCatName val="0"/>
          <c:showSerName val="0"/>
          <c:showPercent val="0"/>
          <c:showBubbleSize val="0"/>
        </c:dLbls>
        <c:gapWidth val="150"/>
        <c:axId val="-2136607096"/>
        <c:axId val="-2142651560"/>
      </c:barChart>
      <c:catAx>
        <c:axId val="-2136607096"/>
        <c:scaling>
          <c:orientation val="minMax"/>
        </c:scaling>
        <c:delete val="0"/>
        <c:axPos val="b"/>
        <c:majorTickMark val="out"/>
        <c:minorTickMark val="none"/>
        <c:tickLblPos val="nextTo"/>
        <c:crossAx val="-2142651560"/>
        <c:crosses val="autoZero"/>
        <c:auto val="1"/>
        <c:lblAlgn val="ctr"/>
        <c:lblOffset val="100"/>
        <c:noMultiLvlLbl val="0"/>
      </c:catAx>
      <c:valAx>
        <c:axId val="-2142651560"/>
        <c:scaling>
          <c:orientation val="minMax"/>
        </c:scaling>
        <c:delete val="0"/>
        <c:axPos val="l"/>
        <c:majorGridlines/>
        <c:numFmt formatCode="General" sourceLinked="1"/>
        <c:majorTickMark val="out"/>
        <c:minorTickMark val="none"/>
        <c:tickLblPos val="nextTo"/>
        <c:crossAx val="-213660709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itle>
    <c:autoTitleDeleted val="0"/>
    <c:plotArea>
      <c:layout/>
      <c:barChart>
        <c:barDir val="col"/>
        <c:grouping val="clustered"/>
        <c:varyColors val="0"/>
        <c:ser>
          <c:idx val="0"/>
          <c:order val="0"/>
          <c:tx>
            <c:strRef>
              <c:f>SLvs.GPA!$W$101</c:f>
              <c:strCache>
                <c:ptCount val="1"/>
                <c:pt idx="0">
                  <c:v>English 101</c:v>
                </c:pt>
              </c:strCache>
            </c:strRef>
          </c:tx>
          <c:invertIfNegative val="0"/>
          <c:cat>
            <c:multiLvlStrRef>
              <c:f>SLvs.GPA!$U$102:$V$107</c:f>
              <c:multiLvlStrCache>
                <c:ptCount val="6"/>
                <c:lvl>
                  <c:pt idx="0">
                    <c:v>Level 5</c:v>
                  </c:pt>
                  <c:pt idx="1">
                    <c:v>Level 6</c:v>
                  </c:pt>
                  <c:pt idx="2">
                    <c:v>Level 5</c:v>
                  </c:pt>
                  <c:pt idx="3">
                    <c:v>Level 6</c:v>
                  </c:pt>
                  <c:pt idx="4">
                    <c:v>Level 5</c:v>
                  </c:pt>
                  <c:pt idx="5">
                    <c:v>Level 6</c:v>
                  </c:pt>
                </c:lvl>
                <c:lvl>
                  <c:pt idx="0">
                    <c:v>a</c:v>
                  </c:pt>
                  <c:pt idx="2">
                    <c:v>b</c:v>
                  </c:pt>
                  <c:pt idx="4">
                    <c:v>c-f</c:v>
                  </c:pt>
                </c:lvl>
              </c:multiLvlStrCache>
            </c:multiLvlStrRef>
          </c:cat>
          <c:val>
            <c:numRef>
              <c:f>SLvs.GPA!$W$102:$W$107</c:f>
              <c:numCache>
                <c:formatCode>General</c:formatCode>
                <c:ptCount val="6"/>
                <c:pt idx="0">
                  <c:v>2.79</c:v>
                </c:pt>
                <c:pt idx="1">
                  <c:v>3.22</c:v>
                </c:pt>
                <c:pt idx="2">
                  <c:v>3.15</c:v>
                </c:pt>
                <c:pt idx="3">
                  <c:v>3.42</c:v>
                </c:pt>
                <c:pt idx="4">
                  <c:v>3.5</c:v>
                </c:pt>
                <c:pt idx="5">
                  <c:v>3.08</c:v>
                </c:pt>
              </c:numCache>
            </c:numRef>
          </c:val>
        </c:ser>
        <c:dLbls>
          <c:showLegendKey val="0"/>
          <c:showVal val="0"/>
          <c:showCatName val="0"/>
          <c:showSerName val="0"/>
          <c:showPercent val="0"/>
          <c:showBubbleSize val="0"/>
        </c:dLbls>
        <c:gapWidth val="150"/>
        <c:axId val="-2135769464"/>
        <c:axId val="-2135766408"/>
      </c:barChart>
      <c:catAx>
        <c:axId val="-2135769464"/>
        <c:scaling>
          <c:orientation val="minMax"/>
        </c:scaling>
        <c:delete val="0"/>
        <c:axPos val="b"/>
        <c:majorTickMark val="out"/>
        <c:minorTickMark val="none"/>
        <c:tickLblPos val="nextTo"/>
        <c:crossAx val="-2135766408"/>
        <c:crosses val="autoZero"/>
        <c:auto val="1"/>
        <c:lblAlgn val="ctr"/>
        <c:lblOffset val="100"/>
        <c:noMultiLvlLbl val="0"/>
      </c:catAx>
      <c:valAx>
        <c:axId val="-2135766408"/>
        <c:scaling>
          <c:orientation val="minMax"/>
        </c:scaling>
        <c:delete val="0"/>
        <c:axPos val="l"/>
        <c:majorGridlines/>
        <c:numFmt formatCode="General" sourceLinked="1"/>
        <c:majorTickMark val="out"/>
        <c:minorTickMark val="none"/>
        <c:tickLblPos val="nextTo"/>
        <c:crossAx val="-2135769464"/>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itle>
    <c:autoTitleDeleted val="0"/>
    <c:plotArea>
      <c:layout/>
      <c:barChart>
        <c:barDir val="col"/>
        <c:grouping val="clustered"/>
        <c:varyColors val="0"/>
        <c:ser>
          <c:idx val="0"/>
          <c:order val="0"/>
          <c:tx>
            <c:strRef>
              <c:f>SLvs.GPA!$R$113</c:f>
              <c:strCache>
                <c:ptCount val="1"/>
                <c:pt idx="0">
                  <c:v>English 102</c:v>
                </c:pt>
              </c:strCache>
            </c:strRef>
          </c:tx>
          <c:invertIfNegative val="0"/>
          <c:cat>
            <c:multiLvlStrRef>
              <c:f>SLvs.GPA!$P$114:$Q$119</c:f>
              <c:multiLvlStrCache>
                <c:ptCount val="6"/>
                <c:lvl>
                  <c:pt idx="0">
                    <c:v>Level 5</c:v>
                  </c:pt>
                  <c:pt idx="1">
                    <c:v>Level 6</c:v>
                  </c:pt>
                  <c:pt idx="2">
                    <c:v>Level 5</c:v>
                  </c:pt>
                  <c:pt idx="3">
                    <c:v>Level 6</c:v>
                  </c:pt>
                  <c:pt idx="4">
                    <c:v>Level 5</c:v>
                  </c:pt>
                  <c:pt idx="5">
                    <c:v>Level 6</c:v>
                  </c:pt>
                </c:lvl>
                <c:lvl>
                  <c:pt idx="0">
                    <c:v>a</c:v>
                  </c:pt>
                  <c:pt idx="2">
                    <c:v>b</c:v>
                  </c:pt>
                  <c:pt idx="4">
                    <c:v>c-f</c:v>
                  </c:pt>
                </c:lvl>
              </c:multiLvlStrCache>
            </c:multiLvlStrRef>
          </c:cat>
          <c:val>
            <c:numRef>
              <c:f>SLvs.GPA!$R$114:$R$119</c:f>
              <c:numCache>
                <c:formatCode>General</c:formatCode>
                <c:ptCount val="6"/>
                <c:pt idx="0">
                  <c:v>3.71</c:v>
                </c:pt>
                <c:pt idx="1">
                  <c:v>3.77</c:v>
                </c:pt>
                <c:pt idx="2">
                  <c:v>3.4</c:v>
                </c:pt>
                <c:pt idx="3">
                  <c:v>3.39</c:v>
                </c:pt>
                <c:pt idx="4">
                  <c:v>3.0</c:v>
                </c:pt>
                <c:pt idx="5">
                  <c:v>3.33</c:v>
                </c:pt>
              </c:numCache>
            </c:numRef>
          </c:val>
        </c:ser>
        <c:dLbls>
          <c:showLegendKey val="0"/>
          <c:showVal val="0"/>
          <c:showCatName val="0"/>
          <c:showSerName val="0"/>
          <c:showPercent val="0"/>
          <c:showBubbleSize val="0"/>
        </c:dLbls>
        <c:gapWidth val="150"/>
        <c:axId val="-2134455176"/>
        <c:axId val="-2134452120"/>
      </c:barChart>
      <c:catAx>
        <c:axId val="-2134455176"/>
        <c:scaling>
          <c:orientation val="minMax"/>
        </c:scaling>
        <c:delete val="0"/>
        <c:axPos val="b"/>
        <c:majorTickMark val="out"/>
        <c:minorTickMark val="none"/>
        <c:tickLblPos val="nextTo"/>
        <c:crossAx val="-2134452120"/>
        <c:crosses val="autoZero"/>
        <c:auto val="1"/>
        <c:lblAlgn val="ctr"/>
        <c:lblOffset val="100"/>
        <c:noMultiLvlLbl val="0"/>
      </c:catAx>
      <c:valAx>
        <c:axId val="-2134452120"/>
        <c:scaling>
          <c:orientation val="minMax"/>
        </c:scaling>
        <c:delete val="0"/>
        <c:axPos val="l"/>
        <c:majorGridlines/>
        <c:numFmt formatCode="General" sourceLinked="1"/>
        <c:majorTickMark val="out"/>
        <c:minorTickMark val="none"/>
        <c:tickLblPos val="nextTo"/>
        <c:crossAx val="-21344551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GradStudents!$B$887</c:f>
              <c:strCache>
                <c:ptCount val="1"/>
                <c:pt idx="0">
                  <c:v>Number of Grad Students</c:v>
                </c:pt>
              </c:strCache>
            </c:strRef>
          </c:tx>
          <c:explosion val="25"/>
          <c:dLbls>
            <c:showLegendKey val="0"/>
            <c:showVal val="0"/>
            <c:showCatName val="1"/>
            <c:showSerName val="0"/>
            <c:showPercent val="1"/>
            <c:showBubbleSize val="0"/>
            <c:showLeaderLines val="1"/>
          </c:dLbls>
          <c:cat>
            <c:strRef>
              <c:f>GradStudents!$D$886:$E$886</c:f>
              <c:strCache>
                <c:ptCount val="2"/>
                <c:pt idx="0">
                  <c:v>EPI</c:v>
                </c:pt>
                <c:pt idx="1">
                  <c:v>Non-EPI</c:v>
                </c:pt>
              </c:strCache>
            </c:strRef>
          </c:cat>
          <c:val>
            <c:numRef>
              <c:f>GradStudents!$D$887:$E$887</c:f>
              <c:numCache>
                <c:formatCode>General</c:formatCode>
                <c:ptCount val="2"/>
                <c:pt idx="0">
                  <c:v>40.0</c:v>
                </c:pt>
                <c:pt idx="1">
                  <c:v>840.0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GroupingGPA!$C$150</c:f>
              <c:strCache>
                <c:ptCount val="1"/>
                <c:pt idx="0">
                  <c:v>Spring 2012</c:v>
                </c:pt>
              </c:strCache>
            </c:strRef>
          </c:tx>
          <c:invertIfNegative val="0"/>
          <c:cat>
            <c:strRef>
              <c:f>GroupingGPA!$D$148:$F$149</c:f>
              <c:strCache>
                <c:ptCount val="3"/>
                <c:pt idx="0">
                  <c:v>GPA</c:v>
                </c:pt>
                <c:pt idx="1">
                  <c:v>Eng 101</c:v>
                </c:pt>
                <c:pt idx="2">
                  <c:v>Eng 102</c:v>
                </c:pt>
              </c:strCache>
            </c:strRef>
          </c:cat>
          <c:val>
            <c:numRef>
              <c:f>GroupingGPA!$D$150:$F$150</c:f>
              <c:numCache>
                <c:formatCode>#,##0.00</c:formatCode>
                <c:ptCount val="3"/>
                <c:pt idx="0">
                  <c:v>3.3</c:v>
                </c:pt>
                <c:pt idx="1">
                  <c:v>3.18</c:v>
                </c:pt>
                <c:pt idx="2">
                  <c:v>3.42</c:v>
                </c:pt>
              </c:numCache>
            </c:numRef>
          </c:val>
        </c:ser>
        <c:ser>
          <c:idx val="1"/>
          <c:order val="1"/>
          <c:tx>
            <c:strRef>
              <c:f>GroupingGPA!$C$151</c:f>
              <c:strCache>
                <c:ptCount val="1"/>
                <c:pt idx="0">
                  <c:v>Spring 2010</c:v>
                </c:pt>
              </c:strCache>
            </c:strRef>
          </c:tx>
          <c:invertIfNegative val="0"/>
          <c:cat>
            <c:strRef>
              <c:f>GroupingGPA!$D$148:$F$149</c:f>
              <c:strCache>
                <c:ptCount val="3"/>
                <c:pt idx="0">
                  <c:v>GPA</c:v>
                </c:pt>
                <c:pt idx="1">
                  <c:v>Eng 101</c:v>
                </c:pt>
                <c:pt idx="2">
                  <c:v>Eng 102</c:v>
                </c:pt>
              </c:strCache>
            </c:strRef>
          </c:cat>
          <c:val>
            <c:numRef>
              <c:f>GroupingGPA!$D$151:$F$151</c:f>
              <c:numCache>
                <c:formatCode>General</c:formatCode>
                <c:ptCount val="3"/>
                <c:pt idx="0">
                  <c:v>3.23</c:v>
                </c:pt>
                <c:pt idx="1">
                  <c:v>3.18</c:v>
                </c:pt>
                <c:pt idx="2">
                  <c:v>3.34</c:v>
                </c:pt>
              </c:numCache>
            </c:numRef>
          </c:val>
        </c:ser>
        <c:dLbls>
          <c:showLegendKey val="0"/>
          <c:showVal val="0"/>
          <c:showCatName val="0"/>
          <c:showSerName val="0"/>
          <c:showPercent val="0"/>
          <c:showBubbleSize val="0"/>
        </c:dLbls>
        <c:gapWidth val="150"/>
        <c:axId val="-2134180856"/>
        <c:axId val="-2134177912"/>
      </c:barChart>
      <c:catAx>
        <c:axId val="-2134180856"/>
        <c:scaling>
          <c:orientation val="minMax"/>
        </c:scaling>
        <c:delete val="0"/>
        <c:axPos val="b"/>
        <c:majorTickMark val="out"/>
        <c:minorTickMark val="none"/>
        <c:tickLblPos val="nextTo"/>
        <c:crossAx val="-2134177912"/>
        <c:crosses val="autoZero"/>
        <c:auto val="1"/>
        <c:lblAlgn val="ctr"/>
        <c:lblOffset val="100"/>
        <c:noMultiLvlLbl val="0"/>
      </c:catAx>
      <c:valAx>
        <c:axId val="-2134177912"/>
        <c:scaling>
          <c:orientation val="minMax"/>
        </c:scaling>
        <c:delete val="0"/>
        <c:axPos val="l"/>
        <c:majorGridlines/>
        <c:numFmt formatCode="#,##0.00" sourceLinked="1"/>
        <c:majorTickMark val="out"/>
        <c:minorTickMark val="none"/>
        <c:tickLblPos val="nextTo"/>
        <c:crossAx val="-21341808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GWvs.GPA!$D$153:$D$154</c:f>
              <c:strCache>
                <c:ptCount val="1"/>
                <c:pt idx="0">
                  <c:v>Proportions of GW levels Number of Students</c:v>
                </c:pt>
              </c:strCache>
            </c:strRef>
          </c:tx>
          <c:invertIfNegative val="0"/>
          <c:cat>
            <c:strRef>
              <c:f>GWvs.GPA!$C$155:$C$163</c:f>
              <c:strCache>
                <c:ptCount val="9"/>
                <c:pt idx="0">
                  <c:v>4</c:v>
                </c:pt>
                <c:pt idx="1">
                  <c:v>5a</c:v>
                </c:pt>
                <c:pt idx="2">
                  <c:v>5b</c:v>
                </c:pt>
                <c:pt idx="3">
                  <c:v>5c</c:v>
                </c:pt>
                <c:pt idx="4">
                  <c:v>5d</c:v>
                </c:pt>
                <c:pt idx="5">
                  <c:v>6a</c:v>
                </c:pt>
                <c:pt idx="6">
                  <c:v>6b</c:v>
                </c:pt>
                <c:pt idx="7">
                  <c:v>6c</c:v>
                </c:pt>
                <c:pt idx="8">
                  <c:v>6d</c:v>
                </c:pt>
              </c:strCache>
            </c:strRef>
          </c:cat>
          <c:val>
            <c:numRef>
              <c:f>GWvs.GPA!$D$155:$D$163</c:f>
              <c:numCache>
                <c:formatCode>General</c:formatCode>
                <c:ptCount val="9"/>
                <c:pt idx="0">
                  <c:v>3.0</c:v>
                </c:pt>
                <c:pt idx="1">
                  <c:v>5.0</c:v>
                </c:pt>
                <c:pt idx="2">
                  <c:v>20.0</c:v>
                </c:pt>
                <c:pt idx="3">
                  <c:v>5.0</c:v>
                </c:pt>
                <c:pt idx="4">
                  <c:v>7.0</c:v>
                </c:pt>
                <c:pt idx="5">
                  <c:v>11.0</c:v>
                </c:pt>
                <c:pt idx="6">
                  <c:v>49.0</c:v>
                </c:pt>
                <c:pt idx="7">
                  <c:v>18.0</c:v>
                </c:pt>
                <c:pt idx="8">
                  <c:v>17.0</c:v>
                </c:pt>
              </c:numCache>
            </c:numRef>
          </c:val>
        </c:ser>
        <c:dLbls>
          <c:showLegendKey val="0"/>
          <c:showVal val="0"/>
          <c:showCatName val="0"/>
          <c:showSerName val="0"/>
          <c:showPercent val="0"/>
          <c:showBubbleSize val="0"/>
        </c:dLbls>
        <c:gapWidth val="150"/>
        <c:axId val="-2134245320"/>
        <c:axId val="-2134286920"/>
      </c:barChart>
      <c:catAx>
        <c:axId val="-2134245320"/>
        <c:scaling>
          <c:orientation val="minMax"/>
        </c:scaling>
        <c:delete val="0"/>
        <c:axPos val="b"/>
        <c:majorTickMark val="out"/>
        <c:minorTickMark val="none"/>
        <c:tickLblPos val="nextTo"/>
        <c:crossAx val="-2134286920"/>
        <c:crosses val="autoZero"/>
        <c:auto val="1"/>
        <c:lblAlgn val="ctr"/>
        <c:lblOffset val="100"/>
        <c:noMultiLvlLbl val="0"/>
      </c:catAx>
      <c:valAx>
        <c:axId val="-2134286920"/>
        <c:scaling>
          <c:orientation val="minMax"/>
        </c:scaling>
        <c:delete val="0"/>
        <c:axPos val="l"/>
        <c:majorGridlines/>
        <c:numFmt formatCode="General" sourceLinked="1"/>
        <c:majorTickMark val="out"/>
        <c:minorTickMark val="none"/>
        <c:tickLblPos val="nextTo"/>
        <c:crossAx val="-21342453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GWvs.GPA!$P$120</c:f>
              <c:strCache>
                <c:ptCount val="1"/>
                <c:pt idx="0">
                  <c:v>gpa</c:v>
                </c:pt>
              </c:strCache>
            </c:strRef>
          </c:tx>
          <c:marker>
            <c:symbol val="none"/>
          </c:marker>
          <c:cat>
            <c:strRef>
              <c:f>GWvs.GPA!$O$121:$O$124</c:f>
              <c:strCache>
                <c:ptCount val="4"/>
                <c:pt idx="0">
                  <c:v>5a</c:v>
                </c:pt>
                <c:pt idx="1">
                  <c:v>5b</c:v>
                </c:pt>
                <c:pt idx="2">
                  <c:v>5c</c:v>
                </c:pt>
                <c:pt idx="3">
                  <c:v>5d-5f</c:v>
                </c:pt>
              </c:strCache>
            </c:strRef>
          </c:cat>
          <c:val>
            <c:numRef>
              <c:f>GWvs.GPA!$P$121:$P$124</c:f>
              <c:numCache>
                <c:formatCode>General</c:formatCode>
                <c:ptCount val="4"/>
                <c:pt idx="0">
                  <c:v>3.76</c:v>
                </c:pt>
                <c:pt idx="1">
                  <c:v>3.36</c:v>
                </c:pt>
                <c:pt idx="2">
                  <c:v>3.34</c:v>
                </c:pt>
                <c:pt idx="3">
                  <c:v>2.59</c:v>
                </c:pt>
              </c:numCache>
            </c:numRef>
          </c:val>
          <c:smooth val="0"/>
        </c:ser>
        <c:ser>
          <c:idx val="1"/>
          <c:order val="1"/>
          <c:tx>
            <c:strRef>
              <c:f>GWvs.GPA!$Q$120</c:f>
              <c:strCache>
                <c:ptCount val="1"/>
                <c:pt idx="0">
                  <c:v>eng 101</c:v>
                </c:pt>
              </c:strCache>
            </c:strRef>
          </c:tx>
          <c:marker>
            <c:symbol val="none"/>
          </c:marker>
          <c:cat>
            <c:strRef>
              <c:f>GWvs.GPA!$O$121:$O$124</c:f>
              <c:strCache>
                <c:ptCount val="4"/>
                <c:pt idx="0">
                  <c:v>5a</c:v>
                </c:pt>
                <c:pt idx="1">
                  <c:v>5b</c:v>
                </c:pt>
                <c:pt idx="2">
                  <c:v>5c</c:v>
                </c:pt>
                <c:pt idx="3">
                  <c:v>5d-5f</c:v>
                </c:pt>
              </c:strCache>
            </c:strRef>
          </c:cat>
          <c:val>
            <c:numRef>
              <c:f>GWvs.GPA!$Q$121:$Q$124</c:f>
              <c:numCache>
                <c:formatCode>General</c:formatCode>
                <c:ptCount val="4"/>
                <c:pt idx="0">
                  <c:v>3.0</c:v>
                </c:pt>
                <c:pt idx="1">
                  <c:v>2.88</c:v>
                </c:pt>
                <c:pt idx="2">
                  <c:v>2.67</c:v>
                </c:pt>
                <c:pt idx="3">
                  <c:v>3.0</c:v>
                </c:pt>
              </c:numCache>
            </c:numRef>
          </c:val>
          <c:smooth val="0"/>
        </c:ser>
        <c:ser>
          <c:idx val="2"/>
          <c:order val="2"/>
          <c:tx>
            <c:strRef>
              <c:f>GWvs.GPA!$R$120</c:f>
              <c:strCache>
                <c:ptCount val="1"/>
                <c:pt idx="0">
                  <c:v>eng 102</c:v>
                </c:pt>
              </c:strCache>
            </c:strRef>
          </c:tx>
          <c:marker>
            <c:symbol val="none"/>
          </c:marker>
          <c:cat>
            <c:strRef>
              <c:f>GWvs.GPA!$O$121:$O$124</c:f>
              <c:strCache>
                <c:ptCount val="4"/>
                <c:pt idx="0">
                  <c:v>5a</c:v>
                </c:pt>
                <c:pt idx="1">
                  <c:v>5b</c:v>
                </c:pt>
                <c:pt idx="2">
                  <c:v>5c</c:v>
                </c:pt>
                <c:pt idx="3">
                  <c:v>5d-5f</c:v>
                </c:pt>
              </c:strCache>
            </c:strRef>
          </c:cat>
          <c:val>
            <c:numRef>
              <c:f>GWvs.GPA!$R$121:$R$124</c:f>
              <c:numCache>
                <c:formatCode>General</c:formatCode>
                <c:ptCount val="4"/>
                <c:pt idx="0">
                  <c:v>4.0</c:v>
                </c:pt>
                <c:pt idx="1">
                  <c:v>3.73</c:v>
                </c:pt>
                <c:pt idx="2">
                  <c:v>2.5</c:v>
                </c:pt>
                <c:pt idx="3">
                  <c:v>2.75</c:v>
                </c:pt>
              </c:numCache>
            </c:numRef>
          </c:val>
          <c:smooth val="0"/>
        </c:ser>
        <c:dLbls>
          <c:showLegendKey val="0"/>
          <c:showVal val="0"/>
          <c:showCatName val="0"/>
          <c:showSerName val="0"/>
          <c:showPercent val="0"/>
          <c:showBubbleSize val="0"/>
        </c:dLbls>
        <c:marker val="1"/>
        <c:smooth val="0"/>
        <c:axId val="-2136498568"/>
        <c:axId val="-2146135976"/>
      </c:lineChart>
      <c:catAx>
        <c:axId val="-2136498568"/>
        <c:scaling>
          <c:orientation val="minMax"/>
        </c:scaling>
        <c:delete val="0"/>
        <c:axPos val="b"/>
        <c:majorTickMark val="out"/>
        <c:minorTickMark val="none"/>
        <c:tickLblPos val="nextTo"/>
        <c:crossAx val="-2146135976"/>
        <c:crosses val="autoZero"/>
        <c:auto val="1"/>
        <c:lblAlgn val="ctr"/>
        <c:lblOffset val="100"/>
        <c:noMultiLvlLbl val="0"/>
      </c:catAx>
      <c:valAx>
        <c:axId val="-2146135976"/>
        <c:scaling>
          <c:orientation val="minMax"/>
        </c:scaling>
        <c:delete val="0"/>
        <c:axPos val="l"/>
        <c:majorGridlines/>
        <c:numFmt formatCode="General" sourceLinked="1"/>
        <c:majorTickMark val="out"/>
        <c:minorTickMark val="none"/>
        <c:tickLblPos val="nextTo"/>
        <c:crossAx val="-2136498568"/>
        <c:crosses val="autoZero"/>
        <c:crossBetween val="between"/>
      </c:valAx>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GWvs.GPA!$P$131</c:f>
              <c:strCache>
                <c:ptCount val="1"/>
                <c:pt idx="0">
                  <c:v>gpa</c:v>
                </c:pt>
              </c:strCache>
            </c:strRef>
          </c:tx>
          <c:marker>
            <c:symbol val="none"/>
          </c:marker>
          <c:cat>
            <c:strRef>
              <c:f>GWvs.GPA!$O$132:$O$136</c:f>
              <c:strCache>
                <c:ptCount val="4"/>
                <c:pt idx="0">
                  <c:v>6a</c:v>
                </c:pt>
                <c:pt idx="1">
                  <c:v>6b</c:v>
                </c:pt>
                <c:pt idx="2">
                  <c:v>6c</c:v>
                </c:pt>
                <c:pt idx="3">
                  <c:v>6d-6f</c:v>
                </c:pt>
              </c:strCache>
            </c:strRef>
          </c:cat>
          <c:val>
            <c:numRef>
              <c:f>GWvs.GPA!$P$132:$P$136</c:f>
              <c:numCache>
                <c:formatCode>General</c:formatCode>
                <c:ptCount val="5"/>
                <c:pt idx="0">
                  <c:v>3.71</c:v>
                </c:pt>
                <c:pt idx="1">
                  <c:v>3.38</c:v>
                </c:pt>
                <c:pt idx="2">
                  <c:v>3.16</c:v>
                </c:pt>
                <c:pt idx="3">
                  <c:v>2.85</c:v>
                </c:pt>
              </c:numCache>
            </c:numRef>
          </c:val>
          <c:smooth val="0"/>
        </c:ser>
        <c:ser>
          <c:idx val="1"/>
          <c:order val="1"/>
          <c:tx>
            <c:strRef>
              <c:f>GWvs.GPA!$Q$131</c:f>
              <c:strCache>
                <c:ptCount val="1"/>
                <c:pt idx="0">
                  <c:v>eng 101</c:v>
                </c:pt>
              </c:strCache>
            </c:strRef>
          </c:tx>
          <c:marker>
            <c:symbol val="none"/>
          </c:marker>
          <c:cat>
            <c:strRef>
              <c:f>GWvs.GPA!$O$132:$O$136</c:f>
              <c:strCache>
                <c:ptCount val="4"/>
                <c:pt idx="0">
                  <c:v>6a</c:v>
                </c:pt>
                <c:pt idx="1">
                  <c:v>6b</c:v>
                </c:pt>
                <c:pt idx="2">
                  <c:v>6c</c:v>
                </c:pt>
                <c:pt idx="3">
                  <c:v>6d-6f</c:v>
                </c:pt>
              </c:strCache>
            </c:strRef>
          </c:cat>
          <c:val>
            <c:numRef>
              <c:f>GWvs.GPA!$Q$132:$Q$136</c:f>
              <c:numCache>
                <c:formatCode>General</c:formatCode>
                <c:ptCount val="5"/>
                <c:pt idx="0">
                  <c:v>3.69</c:v>
                </c:pt>
                <c:pt idx="1">
                  <c:v>3.39</c:v>
                </c:pt>
                <c:pt idx="2">
                  <c:v>3.14</c:v>
                </c:pt>
                <c:pt idx="3">
                  <c:v>2.83</c:v>
                </c:pt>
              </c:numCache>
            </c:numRef>
          </c:val>
          <c:smooth val="0"/>
        </c:ser>
        <c:ser>
          <c:idx val="2"/>
          <c:order val="2"/>
          <c:tx>
            <c:strRef>
              <c:f>GWvs.GPA!$R$131</c:f>
              <c:strCache>
                <c:ptCount val="1"/>
                <c:pt idx="0">
                  <c:v>eng 102</c:v>
                </c:pt>
              </c:strCache>
            </c:strRef>
          </c:tx>
          <c:marker>
            <c:symbol val="none"/>
          </c:marker>
          <c:cat>
            <c:strRef>
              <c:f>GWvs.GPA!$O$132:$O$136</c:f>
              <c:strCache>
                <c:ptCount val="4"/>
                <c:pt idx="0">
                  <c:v>6a</c:v>
                </c:pt>
                <c:pt idx="1">
                  <c:v>6b</c:v>
                </c:pt>
                <c:pt idx="2">
                  <c:v>6c</c:v>
                </c:pt>
                <c:pt idx="3">
                  <c:v>6d-6f</c:v>
                </c:pt>
              </c:strCache>
            </c:strRef>
          </c:cat>
          <c:val>
            <c:numRef>
              <c:f>GWvs.GPA!$R$132:$R$136</c:f>
              <c:numCache>
                <c:formatCode>General</c:formatCode>
                <c:ptCount val="5"/>
                <c:pt idx="0">
                  <c:v>4.0</c:v>
                </c:pt>
                <c:pt idx="1">
                  <c:v>3.58</c:v>
                </c:pt>
                <c:pt idx="2">
                  <c:v>2.68</c:v>
                </c:pt>
                <c:pt idx="3">
                  <c:v>3.69</c:v>
                </c:pt>
              </c:numCache>
            </c:numRef>
          </c:val>
          <c:smooth val="0"/>
        </c:ser>
        <c:dLbls>
          <c:showLegendKey val="0"/>
          <c:showVal val="0"/>
          <c:showCatName val="0"/>
          <c:showSerName val="0"/>
          <c:showPercent val="0"/>
          <c:showBubbleSize val="0"/>
        </c:dLbls>
        <c:marker val="1"/>
        <c:smooth val="0"/>
        <c:axId val="-2141431976"/>
        <c:axId val="-2141401272"/>
      </c:lineChart>
      <c:catAx>
        <c:axId val="-2141431976"/>
        <c:scaling>
          <c:orientation val="minMax"/>
        </c:scaling>
        <c:delete val="0"/>
        <c:axPos val="b"/>
        <c:majorTickMark val="out"/>
        <c:minorTickMark val="none"/>
        <c:tickLblPos val="nextTo"/>
        <c:crossAx val="-2141401272"/>
        <c:crosses val="autoZero"/>
        <c:auto val="1"/>
        <c:lblAlgn val="ctr"/>
        <c:lblOffset val="100"/>
        <c:noMultiLvlLbl val="0"/>
      </c:catAx>
      <c:valAx>
        <c:axId val="-2141401272"/>
        <c:scaling>
          <c:orientation val="minMax"/>
        </c:scaling>
        <c:delete val="0"/>
        <c:axPos val="l"/>
        <c:majorGridlines/>
        <c:numFmt formatCode="General" sourceLinked="1"/>
        <c:majorTickMark val="out"/>
        <c:minorTickMark val="none"/>
        <c:tickLblPos val="nextTo"/>
        <c:crossAx val="-214143197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itle>
    <c:autoTitleDeleted val="0"/>
    <c:plotArea>
      <c:layout/>
      <c:barChart>
        <c:barDir val="col"/>
        <c:grouping val="clustered"/>
        <c:varyColors val="0"/>
        <c:ser>
          <c:idx val="0"/>
          <c:order val="0"/>
          <c:tx>
            <c:strRef>
              <c:f>GWvs.GPA!$U$29</c:f>
              <c:strCache>
                <c:ptCount val="1"/>
                <c:pt idx="0">
                  <c:v>English 101</c:v>
                </c:pt>
              </c:strCache>
            </c:strRef>
          </c:tx>
          <c:invertIfNegative val="0"/>
          <c:cat>
            <c:multiLvlStrRef>
              <c:f>GWvs.GPA!$S$30:$T$37</c:f>
              <c:multiLvlStrCache>
                <c:ptCount val="8"/>
                <c:lvl>
                  <c:pt idx="0">
                    <c:v>Level 5</c:v>
                  </c:pt>
                  <c:pt idx="1">
                    <c:v>Level 6</c:v>
                  </c:pt>
                  <c:pt idx="2">
                    <c:v>Level 5</c:v>
                  </c:pt>
                  <c:pt idx="3">
                    <c:v>Level 6</c:v>
                  </c:pt>
                  <c:pt idx="4">
                    <c:v>Level 5</c:v>
                  </c:pt>
                  <c:pt idx="5">
                    <c:v>Level 6</c:v>
                  </c:pt>
                  <c:pt idx="6">
                    <c:v>Level 5</c:v>
                  </c:pt>
                  <c:pt idx="7">
                    <c:v>Level 6</c:v>
                  </c:pt>
                </c:lvl>
                <c:lvl>
                  <c:pt idx="0">
                    <c:v>a</c:v>
                  </c:pt>
                  <c:pt idx="2">
                    <c:v>b</c:v>
                  </c:pt>
                  <c:pt idx="4">
                    <c:v>c</c:v>
                  </c:pt>
                  <c:pt idx="6">
                    <c:v>d-f</c:v>
                  </c:pt>
                </c:lvl>
              </c:multiLvlStrCache>
            </c:multiLvlStrRef>
          </c:cat>
          <c:val>
            <c:numRef>
              <c:f>GWvs.GPA!$U$30:$U$37</c:f>
              <c:numCache>
                <c:formatCode>General</c:formatCode>
                <c:ptCount val="8"/>
                <c:pt idx="0">
                  <c:v>3.0</c:v>
                </c:pt>
                <c:pt idx="1">
                  <c:v>3.69</c:v>
                </c:pt>
                <c:pt idx="2">
                  <c:v>2.88</c:v>
                </c:pt>
                <c:pt idx="3">
                  <c:v>3.39</c:v>
                </c:pt>
                <c:pt idx="4">
                  <c:v>2.67</c:v>
                </c:pt>
                <c:pt idx="5">
                  <c:v>3.14</c:v>
                </c:pt>
                <c:pt idx="6">
                  <c:v>3.0</c:v>
                </c:pt>
                <c:pt idx="7">
                  <c:v>2.83</c:v>
                </c:pt>
              </c:numCache>
            </c:numRef>
          </c:val>
        </c:ser>
        <c:dLbls>
          <c:showLegendKey val="0"/>
          <c:showVal val="0"/>
          <c:showCatName val="0"/>
          <c:showSerName val="0"/>
          <c:showPercent val="0"/>
          <c:showBubbleSize val="0"/>
        </c:dLbls>
        <c:gapWidth val="150"/>
        <c:axId val="-2135039656"/>
        <c:axId val="-2135908024"/>
      </c:barChart>
      <c:catAx>
        <c:axId val="-2135039656"/>
        <c:scaling>
          <c:orientation val="minMax"/>
        </c:scaling>
        <c:delete val="0"/>
        <c:axPos val="b"/>
        <c:majorTickMark val="out"/>
        <c:minorTickMark val="none"/>
        <c:tickLblPos val="nextTo"/>
        <c:crossAx val="-2135908024"/>
        <c:crosses val="autoZero"/>
        <c:auto val="1"/>
        <c:lblAlgn val="ctr"/>
        <c:lblOffset val="100"/>
        <c:noMultiLvlLbl val="0"/>
      </c:catAx>
      <c:valAx>
        <c:axId val="-2135908024"/>
        <c:scaling>
          <c:orientation val="minMax"/>
        </c:scaling>
        <c:delete val="0"/>
        <c:axPos val="l"/>
        <c:majorGridlines/>
        <c:numFmt formatCode="General" sourceLinked="1"/>
        <c:majorTickMark val="out"/>
        <c:minorTickMark val="none"/>
        <c:tickLblPos val="nextTo"/>
        <c:crossAx val="-21350396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RVvs.GPA!$B$152:$B$160</c:f>
              <c:strCache>
                <c:ptCount val="9"/>
                <c:pt idx="0">
                  <c:v>4a-4f</c:v>
                </c:pt>
                <c:pt idx="1">
                  <c:v>5a</c:v>
                </c:pt>
                <c:pt idx="2">
                  <c:v>5b</c:v>
                </c:pt>
                <c:pt idx="3">
                  <c:v>5c</c:v>
                </c:pt>
                <c:pt idx="4">
                  <c:v>5d-5f</c:v>
                </c:pt>
                <c:pt idx="5">
                  <c:v>6a</c:v>
                </c:pt>
                <c:pt idx="6">
                  <c:v>6b</c:v>
                </c:pt>
                <c:pt idx="7">
                  <c:v>6c</c:v>
                </c:pt>
                <c:pt idx="8">
                  <c:v>6d-6f</c:v>
                </c:pt>
              </c:strCache>
            </c:strRef>
          </c:cat>
          <c:val>
            <c:numRef>
              <c:f>RVvs.GPA!$C$152:$C$160</c:f>
              <c:numCache>
                <c:formatCode>General</c:formatCode>
                <c:ptCount val="9"/>
                <c:pt idx="0">
                  <c:v>3.0</c:v>
                </c:pt>
                <c:pt idx="1">
                  <c:v>5.0</c:v>
                </c:pt>
                <c:pt idx="2">
                  <c:v>19.0</c:v>
                </c:pt>
                <c:pt idx="3">
                  <c:v>6.0</c:v>
                </c:pt>
                <c:pt idx="4">
                  <c:v>6.0</c:v>
                </c:pt>
                <c:pt idx="5">
                  <c:v>22.0</c:v>
                </c:pt>
                <c:pt idx="6">
                  <c:v>46.0</c:v>
                </c:pt>
                <c:pt idx="7">
                  <c:v>14.0</c:v>
                </c:pt>
                <c:pt idx="8">
                  <c:v>14.0</c:v>
                </c:pt>
              </c:numCache>
            </c:numRef>
          </c:val>
        </c:ser>
        <c:dLbls>
          <c:showLegendKey val="0"/>
          <c:showVal val="0"/>
          <c:showCatName val="0"/>
          <c:showSerName val="0"/>
          <c:showPercent val="0"/>
          <c:showBubbleSize val="0"/>
        </c:dLbls>
        <c:gapWidth val="150"/>
        <c:shape val="box"/>
        <c:axId val="-2134263480"/>
        <c:axId val="-2134260488"/>
        <c:axId val="0"/>
      </c:bar3DChart>
      <c:catAx>
        <c:axId val="-2134263480"/>
        <c:scaling>
          <c:orientation val="minMax"/>
        </c:scaling>
        <c:delete val="0"/>
        <c:axPos val="b"/>
        <c:majorTickMark val="out"/>
        <c:minorTickMark val="none"/>
        <c:tickLblPos val="nextTo"/>
        <c:crossAx val="-2134260488"/>
        <c:crosses val="autoZero"/>
        <c:auto val="1"/>
        <c:lblAlgn val="ctr"/>
        <c:lblOffset val="100"/>
        <c:noMultiLvlLbl val="0"/>
      </c:catAx>
      <c:valAx>
        <c:axId val="-2134260488"/>
        <c:scaling>
          <c:orientation val="minMax"/>
        </c:scaling>
        <c:delete val="0"/>
        <c:axPos val="l"/>
        <c:majorGridlines/>
        <c:numFmt formatCode="General" sourceLinked="1"/>
        <c:majorTickMark val="out"/>
        <c:minorTickMark val="none"/>
        <c:tickLblPos val="nextTo"/>
        <c:crossAx val="-213426348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RVvs.GPA!$P$43</c:f>
              <c:strCache>
                <c:ptCount val="1"/>
                <c:pt idx="0">
                  <c:v>GPA</c:v>
                </c:pt>
              </c:strCache>
            </c:strRef>
          </c:tx>
          <c:marker>
            <c:symbol val="none"/>
          </c:marker>
          <c:cat>
            <c:strRef>
              <c:f>RVvs.GPA!$O$44:$O$47</c:f>
              <c:strCache>
                <c:ptCount val="4"/>
                <c:pt idx="0">
                  <c:v>5a</c:v>
                </c:pt>
                <c:pt idx="1">
                  <c:v>5b</c:v>
                </c:pt>
                <c:pt idx="2">
                  <c:v>5c</c:v>
                </c:pt>
                <c:pt idx="3">
                  <c:v>5d-5f</c:v>
                </c:pt>
              </c:strCache>
            </c:strRef>
          </c:cat>
          <c:val>
            <c:numRef>
              <c:f>RVvs.GPA!$P$44:$P$47</c:f>
              <c:numCache>
                <c:formatCode>#,##0.00</c:formatCode>
                <c:ptCount val="4"/>
                <c:pt idx="0">
                  <c:v>3.27</c:v>
                </c:pt>
                <c:pt idx="1">
                  <c:v>3.39</c:v>
                </c:pt>
                <c:pt idx="2">
                  <c:v>2.78</c:v>
                </c:pt>
                <c:pt idx="3">
                  <c:v>3.85</c:v>
                </c:pt>
              </c:numCache>
            </c:numRef>
          </c:val>
          <c:smooth val="0"/>
        </c:ser>
        <c:ser>
          <c:idx val="1"/>
          <c:order val="1"/>
          <c:tx>
            <c:strRef>
              <c:f>RVvs.GPA!$Q$43</c:f>
              <c:strCache>
                <c:ptCount val="1"/>
                <c:pt idx="0">
                  <c:v>English 101</c:v>
                </c:pt>
              </c:strCache>
            </c:strRef>
          </c:tx>
          <c:marker>
            <c:symbol val="none"/>
          </c:marker>
          <c:cat>
            <c:strRef>
              <c:f>RVvs.GPA!$O$44:$O$47</c:f>
              <c:strCache>
                <c:ptCount val="4"/>
                <c:pt idx="0">
                  <c:v>5a</c:v>
                </c:pt>
                <c:pt idx="1">
                  <c:v>5b</c:v>
                </c:pt>
                <c:pt idx="2">
                  <c:v>5c</c:v>
                </c:pt>
                <c:pt idx="3">
                  <c:v>5d-5f</c:v>
                </c:pt>
              </c:strCache>
            </c:strRef>
          </c:cat>
          <c:val>
            <c:numRef>
              <c:f>RVvs.GPA!$Q$44:$Q$47</c:f>
              <c:numCache>
                <c:formatCode>#,##0.00</c:formatCode>
                <c:ptCount val="4"/>
                <c:pt idx="0">
                  <c:v>3.25</c:v>
                </c:pt>
                <c:pt idx="1">
                  <c:v>2.79</c:v>
                </c:pt>
                <c:pt idx="2">
                  <c:v>2.67</c:v>
                </c:pt>
                <c:pt idx="3">
                  <c:v>3.0</c:v>
                </c:pt>
              </c:numCache>
            </c:numRef>
          </c:val>
          <c:smooth val="0"/>
        </c:ser>
        <c:ser>
          <c:idx val="2"/>
          <c:order val="2"/>
          <c:tx>
            <c:strRef>
              <c:f>RVvs.GPA!$R$43</c:f>
              <c:strCache>
                <c:ptCount val="1"/>
                <c:pt idx="0">
                  <c:v>English 102</c:v>
                </c:pt>
              </c:strCache>
            </c:strRef>
          </c:tx>
          <c:marker>
            <c:symbol val="none"/>
          </c:marker>
          <c:cat>
            <c:strRef>
              <c:f>RVvs.GPA!$O$44:$O$47</c:f>
              <c:strCache>
                <c:ptCount val="4"/>
                <c:pt idx="0">
                  <c:v>5a</c:v>
                </c:pt>
                <c:pt idx="1">
                  <c:v>5b</c:v>
                </c:pt>
                <c:pt idx="2">
                  <c:v>5c</c:v>
                </c:pt>
                <c:pt idx="3">
                  <c:v>5d-5f</c:v>
                </c:pt>
              </c:strCache>
            </c:strRef>
          </c:cat>
          <c:val>
            <c:numRef>
              <c:f>RVvs.GPA!$R$44:$R$47</c:f>
              <c:numCache>
                <c:formatCode>#,##0.00</c:formatCode>
                <c:ptCount val="4"/>
                <c:pt idx="0">
                  <c:v>3.5</c:v>
                </c:pt>
                <c:pt idx="1">
                  <c:v>3.5</c:v>
                </c:pt>
                <c:pt idx="2">
                  <c:v>3.25</c:v>
                </c:pt>
              </c:numCache>
            </c:numRef>
          </c:val>
          <c:smooth val="0"/>
        </c:ser>
        <c:dLbls>
          <c:showLegendKey val="0"/>
          <c:showVal val="0"/>
          <c:showCatName val="0"/>
          <c:showSerName val="0"/>
          <c:showPercent val="0"/>
          <c:showBubbleSize val="0"/>
        </c:dLbls>
        <c:marker val="1"/>
        <c:smooth val="0"/>
        <c:axId val="2068429736"/>
        <c:axId val="-2135031224"/>
      </c:lineChart>
      <c:catAx>
        <c:axId val="2068429736"/>
        <c:scaling>
          <c:orientation val="minMax"/>
        </c:scaling>
        <c:delete val="0"/>
        <c:axPos val="b"/>
        <c:majorTickMark val="out"/>
        <c:minorTickMark val="none"/>
        <c:tickLblPos val="nextTo"/>
        <c:crossAx val="-2135031224"/>
        <c:crosses val="autoZero"/>
        <c:auto val="1"/>
        <c:lblAlgn val="ctr"/>
        <c:lblOffset val="100"/>
        <c:noMultiLvlLbl val="0"/>
      </c:catAx>
      <c:valAx>
        <c:axId val="-2135031224"/>
        <c:scaling>
          <c:orientation val="minMax"/>
        </c:scaling>
        <c:delete val="0"/>
        <c:axPos val="l"/>
        <c:majorGridlines/>
        <c:numFmt formatCode="#,##0.00" sourceLinked="1"/>
        <c:majorTickMark val="out"/>
        <c:minorTickMark val="none"/>
        <c:tickLblPos val="nextTo"/>
        <c:crossAx val="2068429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D71D-50CB-C647-9339-603EC9B4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2918</Words>
  <Characters>16634</Characters>
  <Application>Microsoft Macintosh Word</Application>
  <DocSecurity>0</DocSecurity>
  <Lines>138</Lines>
  <Paragraphs>39</Paragraphs>
  <ScaleCrop>false</ScaleCrop>
  <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EPI</cp:lastModifiedBy>
  <cp:revision>2</cp:revision>
  <dcterms:created xsi:type="dcterms:W3CDTF">2013-09-04T20:40:00Z</dcterms:created>
  <dcterms:modified xsi:type="dcterms:W3CDTF">2013-09-04T20:40:00Z</dcterms:modified>
</cp:coreProperties>
</file>